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DE232" w14:textId="1AA3D36F" w:rsidR="00F00FEF" w:rsidRPr="003B4909" w:rsidRDefault="009557CC" w:rsidP="00F00FEF">
      <w:pPr>
        <w:rPr>
          <w:rFonts w:cs="Arial"/>
        </w:rPr>
      </w:pPr>
      <w:r>
        <w:rPr>
          <w:rFonts w:cs="Arial"/>
        </w:rPr>
        <w:tab/>
      </w:r>
    </w:p>
    <w:p w14:paraId="6CDB9B36" w14:textId="277CAF62" w:rsidR="003B4909" w:rsidRDefault="003B4909" w:rsidP="003B4909">
      <w:pPr>
        <w:ind w:left="5760"/>
      </w:pPr>
    </w:p>
    <w:p w14:paraId="3FDE5AFB" w14:textId="77777777" w:rsidR="003B4909" w:rsidRDefault="003B4909" w:rsidP="003B4909"/>
    <w:p w14:paraId="50552C78" w14:textId="77777777" w:rsidR="003B4909" w:rsidRDefault="003B4909" w:rsidP="003B4909"/>
    <w:p w14:paraId="6E97D6E6" w14:textId="77777777" w:rsidR="003B4909" w:rsidRDefault="003B4909" w:rsidP="003B4909">
      <w:r>
        <w:tab/>
      </w:r>
      <w:r>
        <w:tab/>
      </w:r>
      <w:r>
        <w:tab/>
      </w:r>
      <w:r>
        <w:tab/>
      </w:r>
      <w:r>
        <w:tab/>
      </w:r>
      <w:r>
        <w:tab/>
      </w:r>
      <w:r>
        <w:tab/>
      </w:r>
      <w:r>
        <w:tab/>
      </w:r>
      <w:r>
        <w:tab/>
      </w:r>
    </w:p>
    <w:p w14:paraId="521C378E" w14:textId="77777777" w:rsidR="003B4909" w:rsidRDefault="003B4909" w:rsidP="003B4909"/>
    <w:p w14:paraId="1F8C221F" w14:textId="77777777" w:rsidR="003B4909" w:rsidRDefault="003B4909" w:rsidP="003B4909"/>
    <w:p w14:paraId="5E05C970" w14:textId="77777777" w:rsidR="003B4909" w:rsidRDefault="003B4909" w:rsidP="003B4909"/>
    <w:p w14:paraId="1F0DC726" w14:textId="77777777" w:rsidR="003B4909" w:rsidRDefault="003B4909" w:rsidP="003B4909"/>
    <w:p w14:paraId="6E9DC123" w14:textId="77777777" w:rsidR="003B4909" w:rsidRDefault="003B4909" w:rsidP="003B4909">
      <w:pPr>
        <w:rPr>
          <w:rFonts w:cs="Arial"/>
          <w:b/>
          <w:sz w:val="36"/>
          <w:szCs w:val="36"/>
        </w:rPr>
      </w:pPr>
    </w:p>
    <w:p w14:paraId="35074EBB" w14:textId="77777777" w:rsidR="003B4909" w:rsidRDefault="003B4909" w:rsidP="003B4909">
      <w:pPr>
        <w:rPr>
          <w:rFonts w:cs="Arial"/>
          <w:b/>
          <w:sz w:val="36"/>
          <w:szCs w:val="36"/>
        </w:rPr>
      </w:pPr>
    </w:p>
    <w:p w14:paraId="74642EE0" w14:textId="77777777" w:rsidR="003B4909" w:rsidRDefault="003B4909" w:rsidP="003B4909">
      <w:pPr>
        <w:rPr>
          <w:rFonts w:cs="Arial"/>
          <w:b/>
          <w:sz w:val="36"/>
          <w:szCs w:val="36"/>
        </w:rPr>
      </w:pPr>
    </w:p>
    <w:p w14:paraId="42674A80" w14:textId="77777777" w:rsidR="003B4909" w:rsidRDefault="003B4909" w:rsidP="003B4909">
      <w:pPr>
        <w:jc w:val="center"/>
        <w:rPr>
          <w:rFonts w:cs="Arial"/>
          <w:b/>
          <w:sz w:val="36"/>
          <w:szCs w:val="36"/>
        </w:rPr>
      </w:pPr>
    </w:p>
    <w:p w14:paraId="0FA1E58C" w14:textId="77777777" w:rsidR="003B4909" w:rsidRDefault="003B4909" w:rsidP="003B4909">
      <w:pPr>
        <w:jc w:val="center"/>
        <w:rPr>
          <w:rFonts w:cs="Arial"/>
          <w:b/>
          <w:sz w:val="36"/>
          <w:szCs w:val="36"/>
        </w:rPr>
      </w:pPr>
    </w:p>
    <w:p w14:paraId="7EF7C91B" w14:textId="77777777" w:rsidR="003B4909" w:rsidRPr="00A17470" w:rsidRDefault="003B4909" w:rsidP="003B4909">
      <w:pPr>
        <w:jc w:val="center"/>
        <w:rPr>
          <w:rFonts w:cs="Arial"/>
          <w:b/>
          <w:sz w:val="40"/>
          <w:szCs w:val="40"/>
        </w:rPr>
      </w:pPr>
    </w:p>
    <w:p w14:paraId="02EB118A" w14:textId="411C80C7" w:rsidR="003B4909" w:rsidRDefault="003B4909" w:rsidP="003B4909">
      <w:pPr>
        <w:jc w:val="center"/>
        <w:rPr>
          <w:rFonts w:cs="Arial"/>
          <w:b/>
          <w:sz w:val="40"/>
          <w:szCs w:val="40"/>
        </w:rPr>
      </w:pPr>
      <w:r>
        <w:rPr>
          <w:rFonts w:cs="Arial"/>
          <w:b/>
          <w:sz w:val="40"/>
          <w:szCs w:val="40"/>
        </w:rPr>
        <w:t xml:space="preserve">Freedom </w:t>
      </w:r>
      <w:r w:rsidR="00183239">
        <w:rPr>
          <w:rFonts w:cs="Arial"/>
          <w:b/>
          <w:sz w:val="40"/>
          <w:szCs w:val="40"/>
        </w:rPr>
        <w:t>o</w:t>
      </w:r>
      <w:r>
        <w:rPr>
          <w:rFonts w:cs="Arial"/>
          <w:b/>
          <w:sz w:val="40"/>
          <w:szCs w:val="40"/>
        </w:rPr>
        <w:t>f Information Act Policy</w:t>
      </w:r>
    </w:p>
    <w:p w14:paraId="0F0C9102" w14:textId="77777777" w:rsidR="003B4909" w:rsidRDefault="003B4909" w:rsidP="003B4909">
      <w:pPr>
        <w:jc w:val="center"/>
      </w:pPr>
    </w:p>
    <w:p w14:paraId="7023C434" w14:textId="77777777" w:rsidR="003B4909" w:rsidRDefault="003B4909" w:rsidP="003B4909">
      <w:pPr>
        <w:jc w:val="center"/>
      </w:pPr>
    </w:p>
    <w:p w14:paraId="272B04DD" w14:textId="77777777" w:rsidR="003B4909" w:rsidRDefault="003B4909" w:rsidP="003B4909">
      <w:pPr>
        <w:jc w:val="center"/>
      </w:pPr>
    </w:p>
    <w:p w14:paraId="3866636F" w14:textId="77777777" w:rsidR="003B4909" w:rsidRDefault="003B4909" w:rsidP="003B4909">
      <w:pPr>
        <w:jc w:val="center"/>
      </w:pPr>
    </w:p>
    <w:p w14:paraId="4B01684C" w14:textId="77777777" w:rsidR="003B4909" w:rsidRDefault="003B4909" w:rsidP="003B4909">
      <w:pPr>
        <w:jc w:val="center"/>
      </w:pPr>
    </w:p>
    <w:p w14:paraId="100B16AF" w14:textId="77777777" w:rsidR="003B4909" w:rsidRDefault="003B4909" w:rsidP="003B4909">
      <w:pPr>
        <w:jc w:val="center"/>
      </w:pPr>
    </w:p>
    <w:p w14:paraId="147200B5" w14:textId="77777777" w:rsidR="003B4909" w:rsidRDefault="003B4909" w:rsidP="003B4909">
      <w:pPr>
        <w:jc w:val="center"/>
      </w:pPr>
    </w:p>
    <w:p w14:paraId="7491DE04" w14:textId="77777777" w:rsidR="003B4909" w:rsidRDefault="003B4909" w:rsidP="003B4909">
      <w:pPr>
        <w:jc w:val="center"/>
      </w:pPr>
    </w:p>
    <w:p w14:paraId="1AFF3D7C" w14:textId="77777777" w:rsidR="003B4909" w:rsidRDefault="003B4909" w:rsidP="003B4909">
      <w:pPr>
        <w:jc w:val="center"/>
      </w:pPr>
    </w:p>
    <w:p w14:paraId="4CE6859A" w14:textId="77777777" w:rsidR="003B4909" w:rsidRDefault="003B4909" w:rsidP="003B4909">
      <w:pPr>
        <w:jc w:val="center"/>
      </w:pPr>
    </w:p>
    <w:p w14:paraId="42A050B1" w14:textId="77777777" w:rsidR="003B4909" w:rsidRDefault="003B4909" w:rsidP="003B4909">
      <w:pPr>
        <w:jc w:val="center"/>
      </w:pPr>
    </w:p>
    <w:p w14:paraId="1B4477C9" w14:textId="77777777" w:rsidR="003B4909" w:rsidRDefault="003B4909" w:rsidP="003B4909">
      <w:pPr>
        <w:jc w:val="center"/>
      </w:pPr>
    </w:p>
    <w:p w14:paraId="2CB4198F" w14:textId="77777777" w:rsidR="003B4909" w:rsidRDefault="003B4909" w:rsidP="003B4909">
      <w:pPr>
        <w:jc w:val="center"/>
      </w:pPr>
    </w:p>
    <w:p w14:paraId="14455DFD" w14:textId="77777777" w:rsidR="003B4909" w:rsidRDefault="003B4909" w:rsidP="003B4909">
      <w:pPr>
        <w:jc w:val="center"/>
      </w:pPr>
    </w:p>
    <w:p w14:paraId="443380FC" w14:textId="77777777" w:rsidR="003B4909" w:rsidRDefault="003B4909" w:rsidP="003B4909">
      <w:pPr>
        <w:jc w:val="center"/>
      </w:pPr>
    </w:p>
    <w:p w14:paraId="25712B6B" w14:textId="77777777" w:rsidR="00593772" w:rsidRPr="003B4909" w:rsidRDefault="003B4909" w:rsidP="00F00FEF">
      <w:pPr>
        <w:rPr>
          <w:rFonts w:cs="Arial"/>
        </w:rPr>
      </w:pPr>
      <w:r>
        <w:br w:type="page"/>
      </w:r>
    </w:p>
    <w:p w14:paraId="019B69BD" w14:textId="77777777" w:rsidR="00F00FEF" w:rsidRPr="003B4909" w:rsidRDefault="00F00FEF" w:rsidP="00F00FEF">
      <w:pPr>
        <w:rPr>
          <w:rFonts w:cs="Arial"/>
        </w:rPr>
      </w:pPr>
    </w:p>
    <w:p w14:paraId="42341E2C" w14:textId="77777777" w:rsidR="00F00FEF" w:rsidRPr="003B4909" w:rsidRDefault="00593772" w:rsidP="00F00FEF">
      <w:pPr>
        <w:rPr>
          <w:rFonts w:cs="Arial"/>
          <w:b/>
        </w:rPr>
      </w:pPr>
      <w:r w:rsidRPr="003B4909">
        <w:rPr>
          <w:rFonts w:cs="Arial"/>
          <w:b/>
        </w:rPr>
        <w:t>CONTENT</w:t>
      </w:r>
      <w:r w:rsidR="003B4909">
        <w:rPr>
          <w:rFonts w:cs="Arial"/>
          <w:b/>
        </w:rPr>
        <w:t>S</w:t>
      </w:r>
    </w:p>
    <w:p w14:paraId="647665C2" w14:textId="77777777" w:rsidR="00F00FEF" w:rsidRPr="003B4909" w:rsidRDefault="00F00FEF" w:rsidP="00F00FEF">
      <w:pPr>
        <w:rPr>
          <w:rFonts w:cs="Arial"/>
        </w:rPr>
      </w:pPr>
    </w:p>
    <w:p w14:paraId="46CB5FF3" w14:textId="3ABA5555" w:rsidR="002D0604" w:rsidRDefault="007A76DD">
      <w:pPr>
        <w:pStyle w:val="TOC1"/>
        <w:tabs>
          <w:tab w:val="left" w:pos="440"/>
          <w:tab w:val="right" w:leader="dot" w:pos="8296"/>
        </w:tabs>
        <w:rPr>
          <w:rFonts w:asciiTheme="minorHAnsi" w:eastAsiaTheme="minorEastAsia" w:hAnsiTheme="minorHAnsi" w:cstheme="minorBidi"/>
          <w:noProof/>
          <w:sz w:val="22"/>
          <w:szCs w:val="22"/>
        </w:rPr>
      </w:pPr>
      <w:r>
        <w:rPr>
          <w:rFonts w:cs="Arial"/>
        </w:rPr>
        <w:fldChar w:fldCharType="begin"/>
      </w:r>
      <w:r>
        <w:rPr>
          <w:rFonts w:cs="Arial"/>
        </w:rPr>
        <w:instrText xml:space="preserve"> TOC \o "1-3" \h \z \u </w:instrText>
      </w:r>
      <w:r>
        <w:rPr>
          <w:rFonts w:cs="Arial"/>
        </w:rPr>
        <w:fldChar w:fldCharType="separate"/>
      </w:r>
      <w:hyperlink w:anchor="_Toc86323352" w:history="1">
        <w:r w:rsidR="002D0604" w:rsidRPr="002348E6">
          <w:rPr>
            <w:rStyle w:val="Hyperlink"/>
            <w:noProof/>
          </w:rPr>
          <w:t>1</w:t>
        </w:r>
        <w:r w:rsidR="002D0604">
          <w:rPr>
            <w:rFonts w:asciiTheme="minorHAnsi" w:eastAsiaTheme="minorEastAsia" w:hAnsiTheme="minorHAnsi" w:cstheme="minorBidi"/>
            <w:noProof/>
            <w:sz w:val="22"/>
            <w:szCs w:val="22"/>
          </w:rPr>
          <w:tab/>
        </w:r>
        <w:r w:rsidR="002D0604" w:rsidRPr="002348E6">
          <w:rPr>
            <w:rStyle w:val="Hyperlink"/>
            <w:noProof/>
          </w:rPr>
          <w:t>Introduction</w:t>
        </w:r>
        <w:r w:rsidR="002D0604">
          <w:rPr>
            <w:noProof/>
            <w:webHidden/>
          </w:rPr>
          <w:tab/>
        </w:r>
        <w:r w:rsidR="002D0604">
          <w:rPr>
            <w:noProof/>
            <w:webHidden/>
          </w:rPr>
          <w:fldChar w:fldCharType="begin"/>
        </w:r>
        <w:r w:rsidR="002D0604">
          <w:rPr>
            <w:noProof/>
            <w:webHidden/>
          </w:rPr>
          <w:instrText xml:space="preserve"> PAGEREF _Toc86323352 \h </w:instrText>
        </w:r>
        <w:r w:rsidR="002D0604">
          <w:rPr>
            <w:noProof/>
            <w:webHidden/>
          </w:rPr>
        </w:r>
        <w:r w:rsidR="002D0604">
          <w:rPr>
            <w:noProof/>
            <w:webHidden/>
          </w:rPr>
          <w:fldChar w:fldCharType="separate"/>
        </w:r>
        <w:r w:rsidR="002D0604">
          <w:rPr>
            <w:noProof/>
            <w:webHidden/>
          </w:rPr>
          <w:t>3</w:t>
        </w:r>
        <w:r w:rsidR="002D0604">
          <w:rPr>
            <w:noProof/>
            <w:webHidden/>
          </w:rPr>
          <w:fldChar w:fldCharType="end"/>
        </w:r>
      </w:hyperlink>
    </w:p>
    <w:p w14:paraId="032CCD31" w14:textId="2E5F0378" w:rsidR="002D0604" w:rsidRDefault="009E774D">
      <w:pPr>
        <w:pStyle w:val="TOC1"/>
        <w:tabs>
          <w:tab w:val="left" w:pos="440"/>
          <w:tab w:val="right" w:leader="dot" w:pos="8296"/>
        </w:tabs>
        <w:rPr>
          <w:rFonts w:asciiTheme="minorHAnsi" w:eastAsiaTheme="minorEastAsia" w:hAnsiTheme="minorHAnsi" w:cstheme="minorBidi"/>
          <w:noProof/>
          <w:sz w:val="22"/>
          <w:szCs w:val="22"/>
        </w:rPr>
      </w:pPr>
      <w:hyperlink w:anchor="_Toc86323353" w:history="1">
        <w:r w:rsidR="002D0604" w:rsidRPr="002348E6">
          <w:rPr>
            <w:rStyle w:val="Hyperlink"/>
            <w:noProof/>
          </w:rPr>
          <w:t>2</w:t>
        </w:r>
        <w:r w:rsidR="002D0604">
          <w:rPr>
            <w:rFonts w:asciiTheme="minorHAnsi" w:eastAsiaTheme="minorEastAsia" w:hAnsiTheme="minorHAnsi" w:cstheme="minorBidi"/>
            <w:noProof/>
            <w:sz w:val="22"/>
            <w:szCs w:val="22"/>
          </w:rPr>
          <w:tab/>
        </w:r>
        <w:r w:rsidR="002D0604" w:rsidRPr="002348E6">
          <w:rPr>
            <w:rStyle w:val="Hyperlink"/>
            <w:noProof/>
          </w:rPr>
          <w:t>Aim of the Policy</w:t>
        </w:r>
        <w:r w:rsidR="002D0604">
          <w:rPr>
            <w:noProof/>
            <w:webHidden/>
          </w:rPr>
          <w:tab/>
        </w:r>
        <w:r w:rsidR="002D0604">
          <w:rPr>
            <w:noProof/>
            <w:webHidden/>
          </w:rPr>
          <w:fldChar w:fldCharType="begin"/>
        </w:r>
        <w:r w:rsidR="002D0604">
          <w:rPr>
            <w:noProof/>
            <w:webHidden/>
          </w:rPr>
          <w:instrText xml:space="preserve"> PAGEREF _Toc86323353 \h </w:instrText>
        </w:r>
        <w:r w:rsidR="002D0604">
          <w:rPr>
            <w:noProof/>
            <w:webHidden/>
          </w:rPr>
        </w:r>
        <w:r w:rsidR="002D0604">
          <w:rPr>
            <w:noProof/>
            <w:webHidden/>
          </w:rPr>
          <w:fldChar w:fldCharType="separate"/>
        </w:r>
        <w:r w:rsidR="002D0604">
          <w:rPr>
            <w:noProof/>
            <w:webHidden/>
          </w:rPr>
          <w:t>3</w:t>
        </w:r>
        <w:r w:rsidR="002D0604">
          <w:rPr>
            <w:noProof/>
            <w:webHidden/>
          </w:rPr>
          <w:fldChar w:fldCharType="end"/>
        </w:r>
      </w:hyperlink>
    </w:p>
    <w:p w14:paraId="68C87118" w14:textId="033019C1" w:rsidR="002D0604" w:rsidRDefault="009E774D">
      <w:pPr>
        <w:pStyle w:val="TOC1"/>
        <w:tabs>
          <w:tab w:val="left" w:pos="440"/>
          <w:tab w:val="right" w:leader="dot" w:pos="8296"/>
        </w:tabs>
        <w:rPr>
          <w:rFonts w:asciiTheme="minorHAnsi" w:eastAsiaTheme="minorEastAsia" w:hAnsiTheme="minorHAnsi" w:cstheme="minorBidi"/>
          <w:noProof/>
          <w:sz w:val="22"/>
          <w:szCs w:val="22"/>
        </w:rPr>
      </w:pPr>
      <w:hyperlink w:anchor="_Toc86323354" w:history="1">
        <w:r w:rsidR="002D0604" w:rsidRPr="002348E6">
          <w:rPr>
            <w:rStyle w:val="Hyperlink"/>
            <w:noProof/>
          </w:rPr>
          <w:t>3</w:t>
        </w:r>
        <w:r w:rsidR="002D0604">
          <w:rPr>
            <w:rFonts w:asciiTheme="minorHAnsi" w:eastAsiaTheme="minorEastAsia" w:hAnsiTheme="minorHAnsi" w:cstheme="minorBidi"/>
            <w:noProof/>
            <w:sz w:val="22"/>
            <w:szCs w:val="22"/>
          </w:rPr>
          <w:tab/>
        </w:r>
        <w:r w:rsidR="002D0604" w:rsidRPr="002348E6">
          <w:rPr>
            <w:rStyle w:val="Hyperlink"/>
            <w:noProof/>
          </w:rPr>
          <w:t>Our commitment</w:t>
        </w:r>
        <w:r w:rsidR="002D0604">
          <w:rPr>
            <w:noProof/>
            <w:webHidden/>
          </w:rPr>
          <w:tab/>
        </w:r>
        <w:r w:rsidR="002D0604">
          <w:rPr>
            <w:noProof/>
            <w:webHidden/>
          </w:rPr>
          <w:fldChar w:fldCharType="begin"/>
        </w:r>
        <w:r w:rsidR="002D0604">
          <w:rPr>
            <w:noProof/>
            <w:webHidden/>
          </w:rPr>
          <w:instrText xml:space="preserve"> PAGEREF _Toc86323354 \h </w:instrText>
        </w:r>
        <w:r w:rsidR="002D0604">
          <w:rPr>
            <w:noProof/>
            <w:webHidden/>
          </w:rPr>
        </w:r>
        <w:r w:rsidR="002D0604">
          <w:rPr>
            <w:noProof/>
            <w:webHidden/>
          </w:rPr>
          <w:fldChar w:fldCharType="separate"/>
        </w:r>
        <w:r w:rsidR="002D0604">
          <w:rPr>
            <w:noProof/>
            <w:webHidden/>
          </w:rPr>
          <w:t>4</w:t>
        </w:r>
        <w:r w:rsidR="002D0604">
          <w:rPr>
            <w:noProof/>
            <w:webHidden/>
          </w:rPr>
          <w:fldChar w:fldCharType="end"/>
        </w:r>
      </w:hyperlink>
    </w:p>
    <w:p w14:paraId="6CA78A92" w14:textId="24CDCC2E" w:rsidR="002D0604" w:rsidRDefault="009E774D">
      <w:pPr>
        <w:pStyle w:val="TOC1"/>
        <w:tabs>
          <w:tab w:val="left" w:pos="440"/>
          <w:tab w:val="right" w:leader="dot" w:pos="8296"/>
        </w:tabs>
        <w:rPr>
          <w:rFonts w:asciiTheme="minorHAnsi" w:eastAsiaTheme="minorEastAsia" w:hAnsiTheme="minorHAnsi" w:cstheme="minorBidi"/>
          <w:noProof/>
          <w:sz w:val="22"/>
          <w:szCs w:val="22"/>
        </w:rPr>
      </w:pPr>
      <w:hyperlink w:anchor="_Toc86323355" w:history="1">
        <w:r w:rsidR="002D0604" w:rsidRPr="002348E6">
          <w:rPr>
            <w:rStyle w:val="Hyperlink"/>
            <w:noProof/>
          </w:rPr>
          <w:t>4</w:t>
        </w:r>
        <w:r w:rsidR="002D0604">
          <w:rPr>
            <w:rFonts w:asciiTheme="minorHAnsi" w:eastAsiaTheme="minorEastAsia" w:hAnsiTheme="minorHAnsi" w:cstheme="minorBidi"/>
            <w:noProof/>
            <w:sz w:val="22"/>
            <w:szCs w:val="22"/>
          </w:rPr>
          <w:tab/>
        </w:r>
        <w:r w:rsidR="002D0604" w:rsidRPr="002348E6">
          <w:rPr>
            <w:rStyle w:val="Hyperlink"/>
            <w:noProof/>
          </w:rPr>
          <w:t>Roles and responsibilities</w:t>
        </w:r>
        <w:r w:rsidR="002D0604">
          <w:rPr>
            <w:noProof/>
            <w:webHidden/>
          </w:rPr>
          <w:tab/>
        </w:r>
        <w:r w:rsidR="002D0604">
          <w:rPr>
            <w:noProof/>
            <w:webHidden/>
          </w:rPr>
          <w:fldChar w:fldCharType="begin"/>
        </w:r>
        <w:r w:rsidR="002D0604">
          <w:rPr>
            <w:noProof/>
            <w:webHidden/>
          </w:rPr>
          <w:instrText xml:space="preserve"> PAGEREF _Toc86323355 \h </w:instrText>
        </w:r>
        <w:r w:rsidR="002D0604">
          <w:rPr>
            <w:noProof/>
            <w:webHidden/>
          </w:rPr>
        </w:r>
        <w:r w:rsidR="002D0604">
          <w:rPr>
            <w:noProof/>
            <w:webHidden/>
          </w:rPr>
          <w:fldChar w:fldCharType="separate"/>
        </w:r>
        <w:r w:rsidR="002D0604">
          <w:rPr>
            <w:noProof/>
            <w:webHidden/>
          </w:rPr>
          <w:t>4</w:t>
        </w:r>
        <w:r w:rsidR="002D0604">
          <w:rPr>
            <w:noProof/>
            <w:webHidden/>
          </w:rPr>
          <w:fldChar w:fldCharType="end"/>
        </w:r>
      </w:hyperlink>
    </w:p>
    <w:p w14:paraId="727C069C" w14:textId="458CFBAF" w:rsidR="002D0604" w:rsidRDefault="009E774D">
      <w:pPr>
        <w:pStyle w:val="TOC1"/>
        <w:tabs>
          <w:tab w:val="left" w:pos="440"/>
          <w:tab w:val="right" w:leader="dot" w:pos="8296"/>
        </w:tabs>
        <w:rPr>
          <w:rFonts w:asciiTheme="minorHAnsi" w:eastAsiaTheme="minorEastAsia" w:hAnsiTheme="minorHAnsi" w:cstheme="minorBidi"/>
          <w:noProof/>
          <w:sz w:val="22"/>
          <w:szCs w:val="22"/>
        </w:rPr>
      </w:pPr>
      <w:hyperlink w:anchor="_Toc86323356" w:history="1">
        <w:r w:rsidR="002D0604" w:rsidRPr="002348E6">
          <w:rPr>
            <w:rStyle w:val="Hyperlink"/>
            <w:noProof/>
          </w:rPr>
          <w:t>5</w:t>
        </w:r>
        <w:r w:rsidR="002D0604">
          <w:rPr>
            <w:rFonts w:asciiTheme="minorHAnsi" w:eastAsiaTheme="minorEastAsia" w:hAnsiTheme="minorHAnsi" w:cstheme="minorBidi"/>
            <w:noProof/>
            <w:sz w:val="22"/>
            <w:szCs w:val="22"/>
          </w:rPr>
          <w:tab/>
        </w:r>
        <w:r w:rsidR="002D0604" w:rsidRPr="002348E6">
          <w:rPr>
            <w:rStyle w:val="Hyperlink"/>
            <w:noProof/>
          </w:rPr>
          <w:t>Training and Awareness</w:t>
        </w:r>
        <w:r w:rsidR="002D0604">
          <w:rPr>
            <w:noProof/>
            <w:webHidden/>
          </w:rPr>
          <w:tab/>
        </w:r>
        <w:r w:rsidR="002D0604">
          <w:rPr>
            <w:noProof/>
            <w:webHidden/>
          </w:rPr>
          <w:fldChar w:fldCharType="begin"/>
        </w:r>
        <w:r w:rsidR="002D0604">
          <w:rPr>
            <w:noProof/>
            <w:webHidden/>
          </w:rPr>
          <w:instrText xml:space="preserve"> PAGEREF _Toc86323356 \h </w:instrText>
        </w:r>
        <w:r w:rsidR="002D0604">
          <w:rPr>
            <w:noProof/>
            <w:webHidden/>
          </w:rPr>
        </w:r>
        <w:r w:rsidR="002D0604">
          <w:rPr>
            <w:noProof/>
            <w:webHidden/>
          </w:rPr>
          <w:fldChar w:fldCharType="separate"/>
        </w:r>
        <w:r w:rsidR="002D0604">
          <w:rPr>
            <w:noProof/>
            <w:webHidden/>
          </w:rPr>
          <w:t>5</w:t>
        </w:r>
        <w:r w:rsidR="002D0604">
          <w:rPr>
            <w:noProof/>
            <w:webHidden/>
          </w:rPr>
          <w:fldChar w:fldCharType="end"/>
        </w:r>
      </w:hyperlink>
    </w:p>
    <w:p w14:paraId="1B168D61" w14:textId="7BE08F31" w:rsidR="002D0604" w:rsidRDefault="009E774D">
      <w:pPr>
        <w:pStyle w:val="TOC1"/>
        <w:tabs>
          <w:tab w:val="left" w:pos="440"/>
          <w:tab w:val="right" w:leader="dot" w:pos="8296"/>
        </w:tabs>
        <w:rPr>
          <w:rFonts w:asciiTheme="minorHAnsi" w:eastAsiaTheme="minorEastAsia" w:hAnsiTheme="minorHAnsi" w:cstheme="minorBidi"/>
          <w:noProof/>
          <w:sz w:val="22"/>
          <w:szCs w:val="22"/>
        </w:rPr>
      </w:pPr>
      <w:hyperlink w:anchor="_Toc86323357" w:history="1">
        <w:r w:rsidR="002D0604" w:rsidRPr="002348E6">
          <w:rPr>
            <w:rStyle w:val="Hyperlink"/>
            <w:noProof/>
          </w:rPr>
          <w:t>6</w:t>
        </w:r>
        <w:r w:rsidR="002D0604">
          <w:rPr>
            <w:rFonts w:asciiTheme="minorHAnsi" w:eastAsiaTheme="minorEastAsia" w:hAnsiTheme="minorHAnsi" w:cstheme="minorBidi"/>
            <w:noProof/>
            <w:sz w:val="22"/>
            <w:szCs w:val="22"/>
          </w:rPr>
          <w:tab/>
        </w:r>
        <w:r w:rsidR="002D0604" w:rsidRPr="002348E6">
          <w:rPr>
            <w:rStyle w:val="Hyperlink"/>
            <w:noProof/>
          </w:rPr>
          <w:t>Requests for information</w:t>
        </w:r>
        <w:r w:rsidR="002D0604">
          <w:rPr>
            <w:noProof/>
            <w:webHidden/>
          </w:rPr>
          <w:tab/>
        </w:r>
        <w:r w:rsidR="002D0604">
          <w:rPr>
            <w:noProof/>
            <w:webHidden/>
          </w:rPr>
          <w:fldChar w:fldCharType="begin"/>
        </w:r>
        <w:r w:rsidR="002D0604">
          <w:rPr>
            <w:noProof/>
            <w:webHidden/>
          </w:rPr>
          <w:instrText xml:space="preserve"> PAGEREF _Toc86323357 \h </w:instrText>
        </w:r>
        <w:r w:rsidR="002D0604">
          <w:rPr>
            <w:noProof/>
            <w:webHidden/>
          </w:rPr>
        </w:r>
        <w:r w:rsidR="002D0604">
          <w:rPr>
            <w:noProof/>
            <w:webHidden/>
          </w:rPr>
          <w:fldChar w:fldCharType="separate"/>
        </w:r>
        <w:r w:rsidR="002D0604">
          <w:rPr>
            <w:noProof/>
            <w:webHidden/>
          </w:rPr>
          <w:t>5</w:t>
        </w:r>
        <w:r w:rsidR="002D0604">
          <w:rPr>
            <w:noProof/>
            <w:webHidden/>
          </w:rPr>
          <w:fldChar w:fldCharType="end"/>
        </w:r>
      </w:hyperlink>
    </w:p>
    <w:p w14:paraId="4B3A7BB5" w14:textId="01BC154D" w:rsidR="002D0604" w:rsidRDefault="009E774D">
      <w:pPr>
        <w:pStyle w:val="TOC1"/>
        <w:tabs>
          <w:tab w:val="left" w:pos="440"/>
          <w:tab w:val="right" w:leader="dot" w:pos="8296"/>
        </w:tabs>
        <w:rPr>
          <w:rFonts w:asciiTheme="minorHAnsi" w:eastAsiaTheme="minorEastAsia" w:hAnsiTheme="minorHAnsi" w:cstheme="minorBidi"/>
          <w:noProof/>
          <w:sz w:val="22"/>
          <w:szCs w:val="22"/>
        </w:rPr>
      </w:pPr>
      <w:hyperlink w:anchor="_Toc86323358" w:history="1">
        <w:r w:rsidR="002D0604" w:rsidRPr="002348E6">
          <w:rPr>
            <w:rStyle w:val="Hyperlink"/>
            <w:noProof/>
          </w:rPr>
          <w:t>7</w:t>
        </w:r>
        <w:r w:rsidR="002D0604">
          <w:rPr>
            <w:rFonts w:asciiTheme="minorHAnsi" w:eastAsiaTheme="minorEastAsia" w:hAnsiTheme="minorHAnsi" w:cstheme="minorBidi"/>
            <w:noProof/>
            <w:sz w:val="22"/>
            <w:szCs w:val="22"/>
          </w:rPr>
          <w:tab/>
        </w:r>
        <w:r w:rsidR="002D0604" w:rsidRPr="002348E6">
          <w:rPr>
            <w:rStyle w:val="Hyperlink"/>
            <w:noProof/>
          </w:rPr>
          <w:t>Handling Requests</w:t>
        </w:r>
        <w:r w:rsidR="002D0604">
          <w:rPr>
            <w:noProof/>
            <w:webHidden/>
          </w:rPr>
          <w:tab/>
        </w:r>
        <w:r w:rsidR="002D0604">
          <w:rPr>
            <w:noProof/>
            <w:webHidden/>
          </w:rPr>
          <w:fldChar w:fldCharType="begin"/>
        </w:r>
        <w:r w:rsidR="002D0604">
          <w:rPr>
            <w:noProof/>
            <w:webHidden/>
          </w:rPr>
          <w:instrText xml:space="preserve"> PAGEREF _Toc86323358 \h </w:instrText>
        </w:r>
        <w:r w:rsidR="002D0604">
          <w:rPr>
            <w:noProof/>
            <w:webHidden/>
          </w:rPr>
        </w:r>
        <w:r w:rsidR="002D0604">
          <w:rPr>
            <w:noProof/>
            <w:webHidden/>
          </w:rPr>
          <w:fldChar w:fldCharType="separate"/>
        </w:r>
        <w:r w:rsidR="002D0604">
          <w:rPr>
            <w:noProof/>
            <w:webHidden/>
          </w:rPr>
          <w:t>6</w:t>
        </w:r>
        <w:r w:rsidR="002D0604">
          <w:rPr>
            <w:noProof/>
            <w:webHidden/>
          </w:rPr>
          <w:fldChar w:fldCharType="end"/>
        </w:r>
      </w:hyperlink>
    </w:p>
    <w:p w14:paraId="1DA8B4CF" w14:textId="6466F7F1" w:rsidR="002D0604" w:rsidRDefault="009E774D">
      <w:pPr>
        <w:pStyle w:val="TOC1"/>
        <w:tabs>
          <w:tab w:val="left" w:pos="440"/>
          <w:tab w:val="right" w:leader="dot" w:pos="8296"/>
        </w:tabs>
        <w:rPr>
          <w:rFonts w:asciiTheme="minorHAnsi" w:eastAsiaTheme="minorEastAsia" w:hAnsiTheme="minorHAnsi" w:cstheme="minorBidi"/>
          <w:noProof/>
          <w:sz w:val="22"/>
          <w:szCs w:val="22"/>
        </w:rPr>
      </w:pPr>
      <w:hyperlink w:anchor="_Toc86323359" w:history="1">
        <w:r w:rsidR="002D0604" w:rsidRPr="002348E6">
          <w:rPr>
            <w:rStyle w:val="Hyperlink"/>
            <w:noProof/>
          </w:rPr>
          <w:t>8</w:t>
        </w:r>
        <w:r w:rsidR="002D0604">
          <w:rPr>
            <w:rFonts w:asciiTheme="minorHAnsi" w:eastAsiaTheme="minorEastAsia" w:hAnsiTheme="minorHAnsi" w:cstheme="minorBidi"/>
            <w:noProof/>
            <w:sz w:val="22"/>
            <w:szCs w:val="22"/>
          </w:rPr>
          <w:tab/>
        </w:r>
        <w:r w:rsidR="002D0604" w:rsidRPr="002348E6">
          <w:rPr>
            <w:rStyle w:val="Hyperlink"/>
            <w:noProof/>
          </w:rPr>
          <w:t>Disposal and Destruction of information</w:t>
        </w:r>
        <w:r w:rsidR="002D0604">
          <w:rPr>
            <w:noProof/>
            <w:webHidden/>
          </w:rPr>
          <w:tab/>
        </w:r>
        <w:r w:rsidR="002D0604">
          <w:rPr>
            <w:noProof/>
            <w:webHidden/>
          </w:rPr>
          <w:fldChar w:fldCharType="begin"/>
        </w:r>
        <w:r w:rsidR="002D0604">
          <w:rPr>
            <w:noProof/>
            <w:webHidden/>
          </w:rPr>
          <w:instrText xml:space="preserve"> PAGEREF _Toc86323359 \h </w:instrText>
        </w:r>
        <w:r w:rsidR="002D0604">
          <w:rPr>
            <w:noProof/>
            <w:webHidden/>
          </w:rPr>
        </w:r>
        <w:r w:rsidR="002D0604">
          <w:rPr>
            <w:noProof/>
            <w:webHidden/>
          </w:rPr>
          <w:fldChar w:fldCharType="separate"/>
        </w:r>
        <w:r w:rsidR="002D0604">
          <w:rPr>
            <w:noProof/>
            <w:webHidden/>
          </w:rPr>
          <w:t>10</w:t>
        </w:r>
        <w:r w:rsidR="002D0604">
          <w:rPr>
            <w:noProof/>
            <w:webHidden/>
          </w:rPr>
          <w:fldChar w:fldCharType="end"/>
        </w:r>
      </w:hyperlink>
    </w:p>
    <w:p w14:paraId="6C2D2BCF" w14:textId="26273BB1" w:rsidR="002D0604" w:rsidRDefault="009E774D">
      <w:pPr>
        <w:pStyle w:val="TOC1"/>
        <w:tabs>
          <w:tab w:val="left" w:pos="440"/>
          <w:tab w:val="right" w:leader="dot" w:pos="8296"/>
        </w:tabs>
        <w:rPr>
          <w:rFonts w:asciiTheme="minorHAnsi" w:eastAsiaTheme="minorEastAsia" w:hAnsiTheme="minorHAnsi" w:cstheme="minorBidi"/>
          <w:noProof/>
          <w:sz w:val="22"/>
          <w:szCs w:val="22"/>
        </w:rPr>
      </w:pPr>
      <w:hyperlink w:anchor="_Toc86323360" w:history="1">
        <w:r w:rsidR="002D0604" w:rsidRPr="002348E6">
          <w:rPr>
            <w:rStyle w:val="Hyperlink"/>
            <w:noProof/>
          </w:rPr>
          <w:t>9</w:t>
        </w:r>
        <w:r w:rsidR="002D0604">
          <w:rPr>
            <w:rFonts w:asciiTheme="minorHAnsi" w:eastAsiaTheme="minorEastAsia" w:hAnsiTheme="minorHAnsi" w:cstheme="minorBidi"/>
            <w:noProof/>
            <w:sz w:val="22"/>
            <w:szCs w:val="22"/>
          </w:rPr>
          <w:tab/>
        </w:r>
        <w:r w:rsidR="002D0604" w:rsidRPr="002348E6">
          <w:rPr>
            <w:rStyle w:val="Hyperlink"/>
            <w:noProof/>
          </w:rPr>
          <w:t>Publication Scheme</w:t>
        </w:r>
        <w:r w:rsidR="002D0604">
          <w:rPr>
            <w:noProof/>
            <w:webHidden/>
          </w:rPr>
          <w:tab/>
        </w:r>
        <w:r w:rsidR="002D0604">
          <w:rPr>
            <w:noProof/>
            <w:webHidden/>
          </w:rPr>
          <w:fldChar w:fldCharType="begin"/>
        </w:r>
        <w:r w:rsidR="002D0604">
          <w:rPr>
            <w:noProof/>
            <w:webHidden/>
          </w:rPr>
          <w:instrText xml:space="preserve"> PAGEREF _Toc86323360 \h </w:instrText>
        </w:r>
        <w:r w:rsidR="002D0604">
          <w:rPr>
            <w:noProof/>
            <w:webHidden/>
          </w:rPr>
        </w:r>
        <w:r w:rsidR="002D0604">
          <w:rPr>
            <w:noProof/>
            <w:webHidden/>
          </w:rPr>
          <w:fldChar w:fldCharType="separate"/>
        </w:r>
        <w:r w:rsidR="002D0604">
          <w:rPr>
            <w:noProof/>
            <w:webHidden/>
          </w:rPr>
          <w:t>10</w:t>
        </w:r>
        <w:r w:rsidR="002D0604">
          <w:rPr>
            <w:noProof/>
            <w:webHidden/>
          </w:rPr>
          <w:fldChar w:fldCharType="end"/>
        </w:r>
      </w:hyperlink>
    </w:p>
    <w:p w14:paraId="1BF69066" w14:textId="3F37680C" w:rsidR="002D0604" w:rsidRDefault="009E774D">
      <w:pPr>
        <w:pStyle w:val="TOC1"/>
        <w:tabs>
          <w:tab w:val="left" w:pos="660"/>
          <w:tab w:val="right" w:leader="dot" w:pos="8296"/>
        </w:tabs>
        <w:rPr>
          <w:rFonts w:asciiTheme="minorHAnsi" w:eastAsiaTheme="minorEastAsia" w:hAnsiTheme="minorHAnsi" w:cstheme="minorBidi"/>
          <w:noProof/>
          <w:sz w:val="22"/>
          <w:szCs w:val="22"/>
        </w:rPr>
      </w:pPr>
      <w:hyperlink w:anchor="_Toc86323361" w:history="1">
        <w:r w:rsidR="002D0604" w:rsidRPr="002348E6">
          <w:rPr>
            <w:rStyle w:val="Hyperlink"/>
            <w:noProof/>
          </w:rPr>
          <w:t>10</w:t>
        </w:r>
        <w:r w:rsidR="002D0604">
          <w:rPr>
            <w:rFonts w:asciiTheme="minorHAnsi" w:eastAsiaTheme="minorEastAsia" w:hAnsiTheme="minorHAnsi" w:cstheme="minorBidi"/>
            <w:noProof/>
            <w:sz w:val="22"/>
            <w:szCs w:val="22"/>
          </w:rPr>
          <w:tab/>
        </w:r>
        <w:r w:rsidR="002D0604" w:rsidRPr="002348E6">
          <w:rPr>
            <w:rStyle w:val="Hyperlink"/>
            <w:noProof/>
          </w:rPr>
          <w:t>Retention Periods for FOIA related documents</w:t>
        </w:r>
        <w:r w:rsidR="002D0604">
          <w:rPr>
            <w:noProof/>
            <w:webHidden/>
          </w:rPr>
          <w:tab/>
        </w:r>
        <w:r w:rsidR="002D0604">
          <w:rPr>
            <w:noProof/>
            <w:webHidden/>
          </w:rPr>
          <w:fldChar w:fldCharType="begin"/>
        </w:r>
        <w:r w:rsidR="002D0604">
          <w:rPr>
            <w:noProof/>
            <w:webHidden/>
          </w:rPr>
          <w:instrText xml:space="preserve"> PAGEREF _Toc86323361 \h </w:instrText>
        </w:r>
        <w:r w:rsidR="002D0604">
          <w:rPr>
            <w:noProof/>
            <w:webHidden/>
          </w:rPr>
        </w:r>
        <w:r w:rsidR="002D0604">
          <w:rPr>
            <w:noProof/>
            <w:webHidden/>
          </w:rPr>
          <w:fldChar w:fldCharType="separate"/>
        </w:r>
        <w:r w:rsidR="002D0604">
          <w:rPr>
            <w:noProof/>
            <w:webHidden/>
          </w:rPr>
          <w:t>10</w:t>
        </w:r>
        <w:r w:rsidR="002D0604">
          <w:rPr>
            <w:noProof/>
            <w:webHidden/>
          </w:rPr>
          <w:fldChar w:fldCharType="end"/>
        </w:r>
      </w:hyperlink>
    </w:p>
    <w:p w14:paraId="5D0E579E" w14:textId="3AE714DE" w:rsidR="002D0604" w:rsidRDefault="009E774D">
      <w:pPr>
        <w:pStyle w:val="TOC1"/>
        <w:tabs>
          <w:tab w:val="left" w:pos="660"/>
          <w:tab w:val="right" w:leader="dot" w:pos="8296"/>
        </w:tabs>
        <w:rPr>
          <w:rFonts w:asciiTheme="minorHAnsi" w:eastAsiaTheme="minorEastAsia" w:hAnsiTheme="minorHAnsi" w:cstheme="minorBidi"/>
          <w:noProof/>
          <w:sz w:val="22"/>
          <w:szCs w:val="22"/>
        </w:rPr>
      </w:pPr>
      <w:hyperlink w:anchor="_Toc86323362" w:history="1">
        <w:r w:rsidR="002D0604" w:rsidRPr="002348E6">
          <w:rPr>
            <w:rStyle w:val="Hyperlink"/>
            <w:noProof/>
          </w:rPr>
          <w:t>11</w:t>
        </w:r>
        <w:r w:rsidR="002D0604">
          <w:rPr>
            <w:rFonts w:asciiTheme="minorHAnsi" w:eastAsiaTheme="minorEastAsia" w:hAnsiTheme="minorHAnsi" w:cstheme="minorBidi"/>
            <w:noProof/>
            <w:sz w:val="22"/>
            <w:szCs w:val="22"/>
          </w:rPr>
          <w:tab/>
        </w:r>
        <w:r w:rsidR="002D0604" w:rsidRPr="002348E6">
          <w:rPr>
            <w:rStyle w:val="Hyperlink"/>
            <w:noProof/>
          </w:rPr>
          <w:t>Requests To and from Other NHS Bodies</w:t>
        </w:r>
        <w:r w:rsidR="002D0604">
          <w:rPr>
            <w:noProof/>
            <w:webHidden/>
          </w:rPr>
          <w:tab/>
        </w:r>
        <w:r w:rsidR="002D0604">
          <w:rPr>
            <w:noProof/>
            <w:webHidden/>
          </w:rPr>
          <w:fldChar w:fldCharType="begin"/>
        </w:r>
        <w:r w:rsidR="002D0604">
          <w:rPr>
            <w:noProof/>
            <w:webHidden/>
          </w:rPr>
          <w:instrText xml:space="preserve"> PAGEREF _Toc86323362 \h </w:instrText>
        </w:r>
        <w:r w:rsidR="002D0604">
          <w:rPr>
            <w:noProof/>
            <w:webHidden/>
          </w:rPr>
        </w:r>
        <w:r w:rsidR="002D0604">
          <w:rPr>
            <w:noProof/>
            <w:webHidden/>
          </w:rPr>
          <w:fldChar w:fldCharType="separate"/>
        </w:r>
        <w:r w:rsidR="002D0604">
          <w:rPr>
            <w:noProof/>
            <w:webHidden/>
          </w:rPr>
          <w:t>11</w:t>
        </w:r>
        <w:r w:rsidR="002D0604">
          <w:rPr>
            <w:noProof/>
            <w:webHidden/>
          </w:rPr>
          <w:fldChar w:fldCharType="end"/>
        </w:r>
      </w:hyperlink>
    </w:p>
    <w:p w14:paraId="0A443BF1" w14:textId="5FD67EA4" w:rsidR="002D0604" w:rsidRDefault="009E774D">
      <w:pPr>
        <w:pStyle w:val="TOC1"/>
        <w:tabs>
          <w:tab w:val="left" w:pos="660"/>
          <w:tab w:val="right" w:leader="dot" w:pos="8296"/>
        </w:tabs>
        <w:rPr>
          <w:rFonts w:asciiTheme="minorHAnsi" w:eastAsiaTheme="minorEastAsia" w:hAnsiTheme="minorHAnsi" w:cstheme="minorBidi"/>
          <w:noProof/>
          <w:sz w:val="22"/>
          <w:szCs w:val="22"/>
        </w:rPr>
      </w:pPr>
      <w:hyperlink w:anchor="_Toc86323363" w:history="1">
        <w:r w:rsidR="002D0604" w:rsidRPr="002348E6">
          <w:rPr>
            <w:rStyle w:val="Hyperlink"/>
            <w:noProof/>
          </w:rPr>
          <w:t>12</w:t>
        </w:r>
        <w:r w:rsidR="002D0604">
          <w:rPr>
            <w:rFonts w:asciiTheme="minorHAnsi" w:eastAsiaTheme="minorEastAsia" w:hAnsiTheme="minorHAnsi" w:cstheme="minorBidi"/>
            <w:noProof/>
            <w:sz w:val="22"/>
            <w:szCs w:val="22"/>
          </w:rPr>
          <w:tab/>
        </w:r>
        <w:r w:rsidR="002D0604" w:rsidRPr="002348E6">
          <w:rPr>
            <w:rStyle w:val="Hyperlink"/>
            <w:noProof/>
          </w:rPr>
          <w:t>Datasets</w:t>
        </w:r>
        <w:r w:rsidR="002D0604">
          <w:rPr>
            <w:noProof/>
            <w:webHidden/>
          </w:rPr>
          <w:tab/>
        </w:r>
        <w:r w:rsidR="002D0604">
          <w:rPr>
            <w:noProof/>
            <w:webHidden/>
          </w:rPr>
          <w:fldChar w:fldCharType="begin"/>
        </w:r>
        <w:r w:rsidR="002D0604">
          <w:rPr>
            <w:noProof/>
            <w:webHidden/>
          </w:rPr>
          <w:instrText xml:space="preserve"> PAGEREF _Toc86323363 \h </w:instrText>
        </w:r>
        <w:r w:rsidR="002D0604">
          <w:rPr>
            <w:noProof/>
            <w:webHidden/>
          </w:rPr>
        </w:r>
        <w:r w:rsidR="002D0604">
          <w:rPr>
            <w:noProof/>
            <w:webHidden/>
          </w:rPr>
          <w:fldChar w:fldCharType="separate"/>
        </w:r>
        <w:r w:rsidR="002D0604">
          <w:rPr>
            <w:noProof/>
            <w:webHidden/>
          </w:rPr>
          <w:t>11</w:t>
        </w:r>
        <w:r w:rsidR="002D0604">
          <w:rPr>
            <w:noProof/>
            <w:webHidden/>
          </w:rPr>
          <w:fldChar w:fldCharType="end"/>
        </w:r>
      </w:hyperlink>
    </w:p>
    <w:p w14:paraId="76BC4378" w14:textId="5DFFA0D1" w:rsidR="002D0604" w:rsidRDefault="009E774D">
      <w:pPr>
        <w:pStyle w:val="TOC1"/>
        <w:tabs>
          <w:tab w:val="left" w:pos="1540"/>
          <w:tab w:val="right" w:leader="dot" w:pos="8296"/>
        </w:tabs>
        <w:rPr>
          <w:rFonts w:asciiTheme="minorHAnsi" w:eastAsiaTheme="minorEastAsia" w:hAnsiTheme="minorHAnsi" w:cstheme="minorBidi"/>
          <w:noProof/>
          <w:sz w:val="22"/>
          <w:szCs w:val="22"/>
        </w:rPr>
      </w:pPr>
      <w:hyperlink w:anchor="_Toc86323364" w:history="1">
        <w:r w:rsidR="002D0604" w:rsidRPr="002348E6">
          <w:rPr>
            <w:rStyle w:val="Hyperlink"/>
            <w:noProof/>
            <w14:scene3d>
              <w14:camera w14:prst="orthographicFront"/>
              <w14:lightRig w14:rig="threePt" w14:dir="t">
                <w14:rot w14:lat="0" w14:lon="0" w14:rev="0"/>
              </w14:lightRig>
            </w14:scene3d>
          </w:rPr>
          <w:t>Appendix 1.</w:t>
        </w:r>
        <w:r w:rsidR="002D0604">
          <w:rPr>
            <w:rFonts w:asciiTheme="minorHAnsi" w:eastAsiaTheme="minorEastAsia" w:hAnsiTheme="minorHAnsi" w:cstheme="minorBidi"/>
            <w:noProof/>
            <w:sz w:val="22"/>
            <w:szCs w:val="22"/>
          </w:rPr>
          <w:tab/>
        </w:r>
        <w:r w:rsidR="002D0604" w:rsidRPr="002348E6">
          <w:rPr>
            <w:rStyle w:val="Hyperlink"/>
            <w:noProof/>
          </w:rPr>
          <w:t>Categories of requests where you should consult the DPO</w:t>
        </w:r>
        <w:r w:rsidR="002D0604">
          <w:rPr>
            <w:noProof/>
            <w:webHidden/>
          </w:rPr>
          <w:tab/>
        </w:r>
        <w:r w:rsidR="002D0604">
          <w:rPr>
            <w:noProof/>
            <w:webHidden/>
          </w:rPr>
          <w:fldChar w:fldCharType="begin"/>
        </w:r>
        <w:r w:rsidR="002D0604">
          <w:rPr>
            <w:noProof/>
            <w:webHidden/>
          </w:rPr>
          <w:instrText xml:space="preserve"> PAGEREF _Toc86323364 \h </w:instrText>
        </w:r>
        <w:r w:rsidR="002D0604">
          <w:rPr>
            <w:noProof/>
            <w:webHidden/>
          </w:rPr>
        </w:r>
        <w:r w:rsidR="002D0604">
          <w:rPr>
            <w:noProof/>
            <w:webHidden/>
          </w:rPr>
          <w:fldChar w:fldCharType="separate"/>
        </w:r>
        <w:r w:rsidR="002D0604">
          <w:rPr>
            <w:noProof/>
            <w:webHidden/>
          </w:rPr>
          <w:t>12</w:t>
        </w:r>
        <w:r w:rsidR="002D0604">
          <w:rPr>
            <w:noProof/>
            <w:webHidden/>
          </w:rPr>
          <w:fldChar w:fldCharType="end"/>
        </w:r>
      </w:hyperlink>
    </w:p>
    <w:p w14:paraId="2F755844" w14:textId="7BE15BFA" w:rsidR="002D0604" w:rsidRDefault="009E774D">
      <w:pPr>
        <w:pStyle w:val="TOC1"/>
        <w:tabs>
          <w:tab w:val="left" w:pos="1540"/>
          <w:tab w:val="right" w:leader="dot" w:pos="8296"/>
        </w:tabs>
        <w:rPr>
          <w:rFonts w:asciiTheme="minorHAnsi" w:eastAsiaTheme="minorEastAsia" w:hAnsiTheme="minorHAnsi" w:cstheme="minorBidi"/>
          <w:noProof/>
          <w:sz w:val="22"/>
          <w:szCs w:val="22"/>
        </w:rPr>
      </w:pPr>
      <w:hyperlink w:anchor="_Toc86323365" w:history="1">
        <w:r w:rsidR="002D0604" w:rsidRPr="002348E6">
          <w:rPr>
            <w:rStyle w:val="Hyperlink"/>
            <w:noProof/>
            <w14:scene3d>
              <w14:camera w14:prst="orthographicFront"/>
              <w14:lightRig w14:rig="threePt" w14:dir="t">
                <w14:rot w14:lat="0" w14:lon="0" w14:rev="0"/>
              </w14:lightRig>
            </w14:scene3d>
          </w:rPr>
          <w:t>Appendix 2.</w:t>
        </w:r>
        <w:r w:rsidR="002D0604">
          <w:rPr>
            <w:rFonts w:asciiTheme="minorHAnsi" w:eastAsiaTheme="minorEastAsia" w:hAnsiTheme="minorHAnsi" w:cstheme="minorBidi"/>
            <w:noProof/>
            <w:sz w:val="22"/>
            <w:szCs w:val="22"/>
          </w:rPr>
          <w:tab/>
        </w:r>
        <w:r w:rsidR="002D0604" w:rsidRPr="002348E6">
          <w:rPr>
            <w:rStyle w:val="Hyperlink"/>
            <w:noProof/>
          </w:rPr>
          <w:t>Re-use of practice information and copyright</w:t>
        </w:r>
        <w:r w:rsidR="002D0604">
          <w:rPr>
            <w:noProof/>
            <w:webHidden/>
          </w:rPr>
          <w:tab/>
        </w:r>
        <w:r w:rsidR="002D0604">
          <w:rPr>
            <w:noProof/>
            <w:webHidden/>
          </w:rPr>
          <w:fldChar w:fldCharType="begin"/>
        </w:r>
        <w:r w:rsidR="002D0604">
          <w:rPr>
            <w:noProof/>
            <w:webHidden/>
          </w:rPr>
          <w:instrText xml:space="preserve"> PAGEREF _Toc86323365 \h </w:instrText>
        </w:r>
        <w:r w:rsidR="002D0604">
          <w:rPr>
            <w:noProof/>
            <w:webHidden/>
          </w:rPr>
        </w:r>
        <w:r w:rsidR="002D0604">
          <w:rPr>
            <w:noProof/>
            <w:webHidden/>
          </w:rPr>
          <w:fldChar w:fldCharType="separate"/>
        </w:r>
        <w:r w:rsidR="002D0604">
          <w:rPr>
            <w:noProof/>
            <w:webHidden/>
          </w:rPr>
          <w:t>13</w:t>
        </w:r>
        <w:r w:rsidR="002D0604">
          <w:rPr>
            <w:noProof/>
            <w:webHidden/>
          </w:rPr>
          <w:fldChar w:fldCharType="end"/>
        </w:r>
      </w:hyperlink>
    </w:p>
    <w:p w14:paraId="43C80457" w14:textId="1A1D2F3F" w:rsidR="002D0604" w:rsidRDefault="009E774D">
      <w:pPr>
        <w:pStyle w:val="TOC1"/>
        <w:tabs>
          <w:tab w:val="left" w:pos="1540"/>
          <w:tab w:val="right" w:leader="dot" w:pos="8296"/>
        </w:tabs>
        <w:rPr>
          <w:rFonts w:asciiTheme="minorHAnsi" w:eastAsiaTheme="minorEastAsia" w:hAnsiTheme="minorHAnsi" w:cstheme="minorBidi"/>
          <w:noProof/>
          <w:sz w:val="22"/>
          <w:szCs w:val="22"/>
        </w:rPr>
      </w:pPr>
      <w:hyperlink w:anchor="_Toc86323366" w:history="1">
        <w:r w:rsidR="002D0604" w:rsidRPr="002348E6">
          <w:rPr>
            <w:rStyle w:val="Hyperlink"/>
            <w:noProof/>
            <w14:scene3d>
              <w14:camera w14:prst="orthographicFront"/>
              <w14:lightRig w14:rig="threePt" w14:dir="t">
                <w14:rot w14:lat="0" w14:lon="0" w14:rev="0"/>
              </w14:lightRig>
            </w14:scene3d>
          </w:rPr>
          <w:t>Appendix 3.</w:t>
        </w:r>
        <w:r w:rsidR="002D0604">
          <w:rPr>
            <w:rFonts w:asciiTheme="minorHAnsi" w:eastAsiaTheme="minorEastAsia" w:hAnsiTheme="minorHAnsi" w:cstheme="minorBidi"/>
            <w:noProof/>
            <w:sz w:val="22"/>
            <w:szCs w:val="22"/>
          </w:rPr>
          <w:tab/>
        </w:r>
        <w:r w:rsidR="002D0604" w:rsidRPr="002348E6">
          <w:rPr>
            <w:rStyle w:val="Hyperlink"/>
            <w:noProof/>
          </w:rPr>
          <w:t>Internal Review Procedure</w:t>
        </w:r>
        <w:r w:rsidR="002D0604">
          <w:rPr>
            <w:noProof/>
            <w:webHidden/>
          </w:rPr>
          <w:tab/>
        </w:r>
        <w:r w:rsidR="002D0604">
          <w:rPr>
            <w:noProof/>
            <w:webHidden/>
          </w:rPr>
          <w:fldChar w:fldCharType="begin"/>
        </w:r>
        <w:r w:rsidR="002D0604">
          <w:rPr>
            <w:noProof/>
            <w:webHidden/>
          </w:rPr>
          <w:instrText xml:space="preserve"> PAGEREF _Toc86323366 \h </w:instrText>
        </w:r>
        <w:r w:rsidR="002D0604">
          <w:rPr>
            <w:noProof/>
            <w:webHidden/>
          </w:rPr>
        </w:r>
        <w:r w:rsidR="002D0604">
          <w:rPr>
            <w:noProof/>
            <w:webHidden/>
          </w:rPr>
          <w:fldChar w:fldCharType="separate"/>
        </w:r>
        <w:r w:rsidR="002D0604">
          <w:rPr>
            <w:noProof/>
            <w:webHidden/>
          </w:rPr>
          <w:t>15</w:t>
        </w:r>
        <w:r w:rsidR="002D0604">
          <w:rPr>
            <w:noProof/>
            <w:webHidden/>
          </w:rPr>
          <w:fldChar w:fldCharType="end"/>
        </w:r>
      </w:hyperlink>
    </w:p>
    <w:p w14:paraId="6B5B5D10" w14:textId="4269431C" w:rsidR="002D0604" w:rsidRDefault="009E774D">
      <w:pPr>
        <w:pStyle w:val="TOC1"/>
        <w:tabs>
          <w:tab w:val="left" w:pos="1540"/>
          <w:tab w:val="right" w:leader="dot" w:pos="8296"/>
        </w:tabs>
        <w:rPr>
          <w:rFonts w:asciiTheme="minorHAnsi" w:eastAsiaTheme="minorEastAsia" w:hAnsiTheme="minorHAnsi" w:cstheme="minorBidi"/>
          <w:noProof/>
          <w:sz w:val="22"/>
          <w:szCs w:val="22"/>
        </w:rPr>
      </w:pPr>
      <w:hyperlink w:anchor="_Toc86323367" w:history="1">
        <w:r w:rsidR="002D0604" w:rsidRPr="002348E6">
          <w:rPr>
            <w:rStyle w:val="Hyperlink"/>
            <w:noProof/>
            <w14:scene3d>
              <w14:camera w14:prst="orthographicFront"/>
              <w14:lightRig w14:rig="threePt" w14:dir="t">
                <w14:rot w14:lat="0" w14:lon="0" w14:rev="0"/>
              </w14:lightRig>
            </w14:scene3d>
          </w:rPr>
          <w:t>Appendix 4.</w:t>
        </w:r>
        <w:r w:rsidR="002D0604">
          <w:rPr>
            <w:rFonts w:asciiTheme="minorHAnsi" w:eastAsiaTheme="minorEastAsia" w:hAnsiTheme="minorHAnsi" w:cstheme="minorBidi"/>
            <w:noProof/>
            <w:sz w:val="22"/>
            <w:szCs w:val="22"/>
          </w:rPr>
          <w:tab/>
        </w:r>
        <w:r w:rsidR="002D0604" w:rsidRPr="002348E6">
          <w:rPr>
            <w:rStyle w:val="Hyperlink"/>
            <w:noProof/>
          </w:rPr>
          <w:t>Response to FOI request for personal data</w:t>
        </w:r>
        <w:r w:rsidR="002D0604">
          <w:rPr>
            <w:noProof/>
            <w:webHidden/>
          </w:rPr>
          <w:tab/>
        </w:r>
        <w:r w:rsidR="002D0604">
          <w:rPr>
            <w:noProof/>
            <w:webHidden/>
          </w:rPr>
          <w:fldChar w:fldCharType="begin"/>
        </w:r>
        <w:r w:rsidR="002D0604">
          <w:rPr>
            <w:noProof/>
            <w:webHidden/>
          </w:rPr>
          <w:instrText xml:space="preserve"> PAGEREF _Toc86323367 \h </w:instrText>
        </w:r>
        <w:r w:rsidR="002D0604">
          <w:rPr>
            <w:noProof/>
            <w:webHidden/>
          </w:rPr>
        </w:r>
        <w:r w:rsidR="002D0604">
          <w:rPr>
            <w:noProof/>
            <w:webHidden/>
          </w:rPr>
          <w:fldChar w:fldCharType="separate"/>
        </w:r>
        <w:r w:rsidR="002D0604">
          <w:rPr>
            <w:noProof/>
            <w:webHidden/>
          </w:rPr>
          <w:t>17</w:t>
        </w:r>
        <w:r w:rsidR="002D0604">
          <w:rPr>
            <w:noProof/>
            <w:webHidden/>
          </w:rPr>
          <w:fldChar w:fldCharType="end"/>
        </w:r>
      </w:hyperlink>
    </w:p>
    <w:p w14:paraId="44773DFE" w14:textId="2B0E1863" w:rsidR="00F16470" w:rsidRPr="003B4909" w:rsidRDefault="007A76DD" w:rsidP="00F00FEF">
      <w:pPr>
        <w:rPr>
          <w:rFonts w:cs="Arial"/>
        </w:rPr>
      </w:pPr>
      <w:r>
        <w:rPr>
          <w:rFonts w:cs="Arial"/>
        </w:rPr>
        <w:fldChar w:fldCharType="end"/>
      </w:r>
    </w:p>
    <w:p w14:paraId="15234BA0" w14:textId="1F8F002D" w:rsidR="00AD473E" w:rsidRPr="003B4909" w:rsidRDefault="00AD473E" w:rsidP="00F00FEF">
      <w:pPr>
        <w:rPr>
          <w:rFonts w:cs="Arial"/>
          <w:b/>
          <w:sz w:val="28"/>
          <w:szCs w:val="28"/>
          <w:u w:val="single"/>
        </w:rPr>
      </w:pPr>
    </w:p>
    <w:p w14:paraId="0618FEBD" w14:textId="77777777" w:rsidR="00AD473E" w:rsidRPr="003B4909" w:rsidRDefault="00AD473E" w:rsidP="00F00FEF">
      <w:pPr>
        <w:rPr>
          <w:rFonts w:cs="Arial"/>
          <w:b/>
          <w:sz w:val="28"/>
          <w:szCs w:val="28"/>
          <w:u w:val="single"/>
        </w:rPr>
      </w:pPr>
    </w:p>
    <w:p w14:paraId="07F14253" w14:textId="77777777" w:rsidR="00AD473E" w:rsidRPr="003B4909" w:rsidRDefault="00AD473E" w:rsidP="00F00FEF">
      <w:pPr>
        <w:rPr>
          <w:rFonts w:cs="Arial"/>
          <w:b/>
          <w:sz w:val="28"/>
          <w:szCs w:val="28"/>
          <w:u w:val="single"/>
        </w:rPr>
      </w:pPr>
    </w:p>
    <w:p w14:paraId="4D8A1D54" w14:textId="77777777" w:rsidR="00AD473E" w:rsidRPr="003B4909" w:rsidRDefault="00AD473E" w:rsidP="00F00FEF">
      <w:pPr>
        <w:rPr>
          <w:rFonts w:cs="Arial"/>
          <w:b/>
          <w:sz w:val="28"/>
          <w:szCs w:val="28"/>
          <w:u w:val="single"/>
        </w:rPr>
      </w:pPr>
    </w:p>
    <w:p w14:paraId="4693FBAD" w14:textId="77777777" w:rsidR="00AB4B79" w:rsidRPr="003B4909" w:rsidRDefault="00AB4B79" w:rsidP="00F00FEF">
      <w:pPr>
        <w:rPr>
          <w:rFonts w:cs="Arial"/>
          <w:b/>
          <w:sz w:val="28"/>
          <w:szCs w:val="28"/>
          <w:u w:val="single"/>
        </w:rPr>
      </w:pPr>
    </w:p>
    <w:p w14:paraId="362B05B9" w14:textId="77777777" w:rsidR="00AD473E" w:rsidRPr="003B4909" w:rsidRDefault="00AD473E" w:rsidP="00F00FEF">
      <w:pPr>
        <w:rPr>
          <w:rFonts w:cs="Arial"/>
          <w:b/>
          <w:sz w:val="28"/>
          <w:szCs w:val="28"/>
          <w:u w:val="single"/>
        </w:rPr>
      </w:pPr>
    </w:p>
    <w:p w14:paraId="2B8756EF" w14:textId="77777777" w:rsidR="00AD473E" w:rsidRPr="003B4909" w:rsidRDefault="00AD473E" w:rsidP="00F00FEF">
      <w:pPr>
        <w:rPr>
          <w:rFonts w:cs="Arial"/>
          <w:b/>
          <w:sz w:val="28"/>
          <w:szCs w:val="28"/>
          <w:u w:val="single"/>
        </w:rPr>
      </w:pPr>
    </w:p>
    <w:p w14:paraId="021EE8AB" w14:textId="77777777" w:rsidR="00AD473E" w:rsidRPr="003B4909" w:rsidRDefault="00AD473E" w:rsidP="00F00FEF">
      <w:pPr>
        <w:rPr>
          <w:rFonts w:cs="Arial"/>
          <w:b/>
          <w:sz w:val="28"/>
          <w:szCs w:val="28"/>
          <w:u w:val="single"/>
        </w:rPr>
      </w:pPr>
    </w:p>
    <w:p w14:paraId="76D0936D" w14:textId="279F6526" w:rsidR="002636EA" w:rsidRPr="003B4909" w:rsidRDefault="00E7331F" w:rsidP="00F00FEF">
      <w:pPr>
        <w:rPr>
          <w:rFonts w:cs="Arial"/>
          <w:b/>
          <w:sz w:val="28"/>
          <w:szCs w:val="28"/>
          <w:u w:val="single"/>
        </w:rPr>
      </w:pPr>
      <w:r w:rsidRPr="003B4909">
        <w:rPr>
          <w:rFonts w:cs="Arial"/>
          <w:b/>
          <w:sz w:val="28"/>
          <w:szCs w:val="28"/>
          <w:u w:val="single"/>
        </w:rPr>
        <w:br w:type="page"/>
      </w:r>
    </w:p>
    <w:p w14:paraId="3AB4BC5A" w14:textId="23577D1F" w:rsidR="00F00FEF" w:rsidRPr="00A36464" w:rsidRDefault="00F00FEF" w:rsidP="00A36464">
      <w:pPr>
        <w:pStyle w:val="Heading1"/>
      </w:pPr>
      <w:bookmarkStart w:id="0" w:name="_Toc86323352"/>
      <w:r w:rsidRPr="00A36464">
        <w:lastRenderedPageBreak/>
        <w:t>Introduction</w:t>
      </w:r>
      <w:bookmarkEnd w:id="0"/>
    </w:p>
    <w:p w14:paraId="42AAADEC" w14:textId="77777777" w:rsidR="0097080D" w:rsidRPr="003B4909" w:rsidRDefault="0097080D" w:rsidP="00F00FEF">
      <w:pPr>
        <w:rPr>
          <w:rFonts w:cs="Arial"/>
          <w:b/>
          <w:u w:val="single"/>
        </w:rPr>
      </w:pPr>
    </w:p>
    <w:p w14:paraId="28DF1FC9" w14:textId="027DB714" w:rsidR="00D639A7" w:rsidRPr="00A36464" w:rsidRDefault="00F00FEF" w:rsidP="00A36464">
      <w:pPr>
        <w:pStyle w:val="ListParagraph"/>
      </w:pPr>
      <w:r w:rsidRPr="00A36464">
        <w:t>Information is a</w:t>
      </w:r>
      <w:r w:rsidR="0097080D" w:rsidRPr="00A36464">
        <w:t>n</w:t>
      </w:r>
      <w:r w:rsidRPr="00A36464">
        <w:t xml:space="preserve"> </w:t>
      </w:r>
      <w:r w:rsidR="0097080D" w:rsidRPr="00A36464">
        <w:t>in</w:t>
      </w:r>
      <w:r w:rsidRPr="00A36464">
        <w:t xml:space="preserve">valuable asset to any organisation. </w:t>
      </w:r>
      <w:r w:rsidR="00513F24">
        <w:t>The practice</w:t>
      </w:r>
      <w:r w:rsidR="007F6D08">
        <w:t xml:space="preserve"> </w:t>
      </w:r>
      <w:r w:rsidR="00D639A7" w:rsidRPr="00A36464">
        <w:t>relies on this information in order to carry out statutory</w:t>
      </w:r>
      <w:r w:rsidR="00852B5D" w:rsidRPr="00A36464">
        <w:t xml:space="preserve"> and other</w:t>
      </w:r>
      <w:r w:rsidR="00D639A7" w:rsidRPr="00A36464">
        <w:t xml:space="preserve"> functions a</w:t>
      </w:r>
      <w:r w:rsidR="00852B5D" w:rsidRPr="00A36464">
        <w:t>s well as</w:t>
      </w:r>
      <w:r w:rsidR="00D639A7" w:rsidRPr="00A36464">
        <w:t xml:space="preserve"> deliver services. </w:t>
      </w:r>
      <w:r w:rsidR="009C1F6E" w:rsidRPr="00A36464">
        <w:t>However,</w:t>
      </w:r>
      <w:r w:rsidR="00D639A7" w:rsidRPr="00A36464">
        <w:t xml:space="preserve"> holding this information imposes </w:t>
      </w:r>
      <w:r w:rsidR="00513F24">
        <w:t>l</w:t>
      </w:r>
      <w:r w:rsidR="00D639A7" w:rsidRPr="00A36464">
        <w:t xml:space="preserve">egal obligations </w:t>
      </w:r>
      <w:r w:rsidR="00513F24">
        <w:t>as a public body</w:t>
      </w:r>
      <w:r w:rsidR="00D639A7" w:rsidRPr="00A36464">
        <w:t xml:space="preserve">. The central legislation that this policy document focuses on is the </w:t>
      </w:r>
      <w:r w:rsidR="00D639A7" w:rsidRPr="00A36464">
        <w:rPr>
          <w:b/>
        </w:rPr>
        <w:t>Freedom of Information Act 2000</w:t>
      </w:r>
      <w:r w:rsidR="00D639A7" w:rsidRPr="00A36464">
        <w:t xml:space="preserve"> (FOIA 2000) and to a lesser extent</w:t>
      </w:r>
      <w:r w:rsidR="00D639A7" w:rsidRPr="00A36464">
        <w:rPr>
          <w:b/>
        </w:rPr>
        <w:t xml:space="preserve"> Environmental Information </w:t>
      </w:r>
      <w:r w:rsidR="00E044B6" w:rsidRPr="00A36464">
        <w:rPr>
          <w:b/>
        </w:rPr>
        <w:t>R</w:t>
      </w:r>
      <w:r w:rsidR="00D639A7" w:rsidRPr="00A36464">
        <w:rPr>
          <w:b/>
        </w:rPr>
        <w:t>egulations 2004</w:t>
      </w:r>
      <w:r w:rsidR="00D639A7" w:rsidRPr="00A36464">
        <w:t xml:space="preserve"> (EIR 2004). </w:t>
      </w:r>
    </w:p>
    <w:p w14:paraId="12D32ED3" w14:textId="77777777" w:rsidR="00A44C1F" w:rsidRPr="003B4909" w:rsidRDefault="00A44C1F" w:rsidP="00F00FEF">
      <w:pPr>
        <w:rPr>
          <w:rFonts w:cs="Arial"/>
        </w:rPr>
      </w:pPr>
    </w:p>
    <w:p w14:paraId="4AB80F19" w14:textId="2BE538C2" w:rsidR="00A44C1F" w:rsidRPr="003B4909" w:rsidRDefault="00A44C1F" w:rsidP="00A36464">
      <w:pPr>
        <w:pStyle w:val="ListParagraph"/>
      </w:pPr>
      <w:r w:rsidRPr="003B4909">
        <w:t>The document provides a framework to meet legal requirements in relation to information requests that fall within the scope of FOIA or EIR legislation.</w:t>
      </w:r>
    </w:p>
    <w:p w14:paraId="1227FFA3" w14:textId="77777777" w:rsidR="00A44C1F" w:rsidRPr="003B4909" w:rsidRDefault="00A44C1F" w:rsidP="00A36464">
      <w:pPr>
        <w:pStyle w:val="ListParagraph"/>
        <w:numPr>
          <w:ilvl w:val="0"/>
          <w:numId w:val="0"/>
        </w:numPr>
        <w:ind w:left="720"/>
      </w:pPr>
    </w:p>
    <w:p w14:paraId="2386C39E" w14:textId="6A792427" w:rsidR="00A44C1F" w:rsidRDefault="00A44C1F" w:rsidP="00A36464">
      <w:pPr>
        <w:pStyle w:val="ListParagraph"/>
      </w:pPr>
      <w:r w:rsidRPr="003B4909">
        <w:t xml:space="preserve">This policy relates to all information held by </w:t>
      </w:r>
      <w:r w:rsidR="007F6D08">
        <w:t xml:space="preserve">the </w:t>
      </w:r>
      <w:r w:rsidR="00513F24">
        <w:t xml:space="preserve">practice regardless </w:t>
      </w:r>
      <w:r w:rsidRPr="003B4909">
        <w:t xml:space="preserve">the format it is held or when it came into the possession of </w:t>
      </w:r>
      <w:r w:rsidR="007F6D08">
        <w:t xml:space="preserve">the </w:t>
      </w:r>
      <w:r w:rsidR="00513F24">
        <w:t>practice</w:t>
      </w:r>
      <w:r w:rsidRPr="003B4909">
        <w:t xml:space="preserve">. </w:t>
      </w:r>
      <w:r w:rsidR="009C1F6E" w:rsidRPr="003B4909">
        <w:t>Furthermore,</w:t>
      </w:r>
      <w:r w:rsidRPr="003B4909">
        <w:t xml:space="preserve"> the information does not necessarily have to originate from </w:t>
      </w:r>
      <w:r w:rsidR="007F6D08">
        <w:t xml:space="preserve">the </w:t>
      </w:r>
      <w:r w:rsidR="00513F24">
        <w:t>practice</w:t>
      </w:r>
      <w:r w:rsidRPr="007F6D08">
        <w:t xml:space="preserve"> </w:t>
      </w:r>
      <w:r w:rsidR="0081035D">
        <w:t>(e.g.</w:t>
      </w:r>
      <w:r w:rsidRPr="003B4909">
        <w:t xml:space="preserve"> it may have originated from another </w:t>
      </w:r>
      <w:r w:rsidR="007F6D08">
        <w:t>organisation</w:t>
      </w:r>
      <w:r w:rsidRPr="003B4909">
        <w:t>, a contractor or any other third party). The only criterion is that</w:t>
      </w:r>
      <w:r w:rsidR="007F6D08">
        <w:t xml:space="preserve"> the </w:t>
      </w:r>
      <w:r w:rsidR="00513F24">
        <w:t>practice</w:t>
      </w:r>
      <w:r w:rsidRPr="003B4909">
        <w:t>, at the time of the request, hold</w:t>
      </w:r>
      <w:r w:rsidR="001B4DA4" w:rsidRPr="003B4909">
        <w:t xml:space="preserve">s the information or it is held on </w:t>
      </w:r>
      <w:r w:rsidR="007F6D08">
        <w:t xml:space="preserve">the </w:t>
      </w:r>
      <w:r w:rsidR="00513F24">
        <w:t>practice’s</w:t>
      </w:r>
      <w:r w:rsidR="001B4DA4" w:rsidRPr="003B4909">
        <w:t xml:space="preserve"> behalf by a third party.</w:t>
      </w:r>
    </w:p>
    <w:p w14:paraId="2030C71C" w14:textId="77777777" w:rsidR="00F0398D" w:rsidRDefault="00F0398D" w:rsidP="000E7E59">
      <w:pPr>
        <w:pStyle w:val="ListParagraph"/>
        <w:numPr>
          <w:ilvl w:val="0"/>
          <w:numId w:val="0"/>
        </w:numPr>
        <w:ind w:left="720"/>
      </w:pPr>
    </w:p>
    <w:p w14:paraId="446CE242" w14:textId="2EAD6283" w:rsidR="00F0398D" w:rsidRPr="003B4909" w:rsidRDefault="000E7E59" w:rsidP="00A36464">
      <w:pPr>
        <w:pStyle w:val="ListParagraph"/>
      </w:pPr>
      <w:r>
        <w:t>This policy was last updated October 2021.</w:t>
      </w:r>
    </w:p>
    <w:p w14:paraId="040B4F1B" w14:textId="3A58EE45" w:rsidR="00E7331F" w:rsidRDefault="00E7331F" w:rsidP="00E7331F">
      <w:pPr>
        <w:rPr>
          <w:rFonts w:cs="Arial"/>
        </w:rPr>
      </w:pPr>
    </w:p>
    <w:p w14:paraId="00B99441" w14:textId="77777777" w:rsidR="00F0398D" w:rsidRPr="003B4909" w:rsidRDefault="00F0398D" w:rsidP="00E7331F">
      <w:pPr>
        <w:rPr>
          <w:rFonts w:cs="Arial"/>
        </w:rPr>
      </w:pPr>
    </w:p>
    <w:p w14:paraId="40E675F5" w14:textId="37DF48AC" w:rsidR="00E7331F" w:rsidRPr="003B4909" w:rsidRDefault="00E7331F" w:rsidP="00E7331F">
      <w:pPr>
        <w:rPr>
          <w:rFonts w:cs="Arial"/>
          <w:i/>
        </w:rPr>
      </w:pPr>
      <w:r w:rsidRPr="003B4909">
        <w:rPr>
          <w:rFonts w:cs="Arial"/>
          <w:i/>
        </w:rPr>
        <w:t xml:space="preserve">This document sets out the policy framework to assist </w:t>
      </w:r>
      <w:r w:rsidR="00303F20">
        <w:rPr>
          <w:rFonts w:cs="Arial"/>
          <w:i/>
        </w:rPr>
        <w:t>i</w:t>
      </w:r>
      <w:r w:rsidRPr="003B4909">
        <w:rPr>
          <w:rFonts w:cs="Arial"/>
          <w:i/>
        </w:rPr>
        <w:t xml:space="preserve">n complying with </w:t>
      </w:r>
      <w:r w:rsidR="004B5020">
        <w:rPr>
          <w:rFonts w:cs="Arial"/>
          <w:i/>
        </w:rPr>
        <w:t>practice</w:t>
      </w:r>
      <w:r w:rsidR="005348AD">
        <w:rPr>
          <w:rFonts w:cs="Arial"/>
          <w:i/>
        </w:rPr>
        <w:t xml:space="preserve">’s </w:t>
      </w:r>
      <w:r w:rsidRPr="003B4909">
        <w:rPr>
          <w:rFonts w:cs="Arial"/>
          <w:i/>
        </w:rPr>
        <w:t>obligation under the Freedom of Information Act (FOIA). It is not intended that this document provides a comprehensive guide as to the legal obligat</w:t>
      </w:r>
      <w:r w:rsidR="009C1F6E">
        <w:rPr>
          <w:rFonts w:cs="Arial"/>
          <w:i/>
        </w:rPr>
        <w:t xml:space="preserve">ions that apply under the FOIA, </w:t>
      </w:r>
      <w:r w:rsidRPr="003B4909">
        <w:rPr>
          <w:rFonts w:cs="Arial"/>
          <w:i/>
        </w:rPr>
        <w:t xml:space="preserve">and should be read in conjunction with the following references. </w:t>
      </w:r>
    </w:p>
    <w:p w14:paraId="644805DA" w14:textId="77777777" w:rsidR="00E7331F" w:rsidRPr="003B4909" w:rsidRDefault="00E7331F" w:rsidP="00E7331F">
      <w:pPr>
        <w:rPr>
          <w:rFonts w:cs="Arial"/>
        </w:rPr>
      </w:pPr>
    </w:p>
    <w:p w14:paraId="3A1571D5" w14:textId="77777777" w:rsidR="00E7331F" w:rsidRPr="003B4909" w:rsidRDefault="00E7331F" w:rsidP="00E7331F">
      <w:pPr>
        <w:rPr>
          <w:rFonts w:cs="Arial"/>
          <w:i/>
          <w:sz w:val="20"/>
          <w:szCs w:val="20"/>
        </w:rPr>
      </w:pPr>
      <w:r w:rsidRPr="003B4909">
        <w:rPr>
          <w:rFonts w:cs="Arial"/>
          <w:i/>
          <w:sz w:val="20"/>
          <w:szCs w:val="20"/>
        </w:rPr>
        <w:t>Freedom of Information Act 2000</w:t>
      </w:r>
    </w:p>
    <w:p w14:paraId="63BCD8F6" w14:textId="77777777" w:rsidR="00E7331F" w:rsidRPr="003B4909" w:rsidRDefault="00E7331F" w:rsidP="00E7331F">
      <w:pPr>
        <w:rPr>
          <w:rFonts w:cs="Arial"/>
          <w:i/>
          <w:sz w:val="20"/>
          <w:szCs w:val="20"/>
        </w:rPr>
      </w:pPr>
      <w:r w:rsidRPr="003B4909">
        <w:rPr>
          <w:rFonts w:cs="Arial"/>
          <w:i/>
          <w:sz w:val="20"/>
          <w:szCs w:val="20"/>
        </w:rPr>
        <w:t>Environmental Information Regulation 2004</w:t>
      </w:r>
    </w:p>
    <w:p w14:paraId="5EDC3460" w14:textId="77777777" w:rsidR="00E7331F" w:rsidRPr="003B4909" w:rsidRDefault="00E7331F" w:rsidP="00E7331F">
      <w:pPr>
        <w:rPr>
          <w:rFonts w:cs="Arial"/>
          <w:i/>
          <w:sz w:val="20"/>
          <w:szCs w:val="20"/>
        </w:rPr>
      </w:pPr>
      <w:r w:rsidRPr="003B4909">
        <w:rPr>
          <w:rFonts w:cs="Arial"/>
          <w:i/>
          <w:sz w:val="20"/>
          <w:szCs w:val="20"/>
        </w:rPr>
        <w:t>Section 45 (Freedom of Information Act) Code of Practice</w:t>
      </w:r>
    </w:p>
    <w:p w14:paraId="6AB21C72" w14:textId="13FFEE96" w:rsidR="00F16470" w:rsidRPr="003B4909" w:rsidRDefault="00F16470" w:rsidP="00E7331F">
      <w:pPr>
        <w:rPr>
          <w:rFonts w:cs="Arial"/>
          <w:i/>
          <w:sz w:val="20"/>
          <w:szCs w:val="20"/>
        </w:rPr>
      </w:pPr>
      <w:r>
        <w:rPr>
          <w:rFonts w:cs="Arial"/>
          <w:i/>
          <w:sz w:val="20"/>
          <w:szCs w:val="20"/>
        </w:rPr>
        <w:t>Guidance published by the Information Commissioner’s Office</w:t>
      </w:r>
    </w:p>
    <w:p w14:paraId="7D9C2D9F" w14:textId="77777777" w:rsidR="00E7331F" w:rsidRPr="003B4909" w:rsidRDefault="00E7331F" w:rsidP="00E7331F">
      <w:pPr>
        <w:rPr>
          <w:rFonts w:cs="Arial"/>
        </w:rPr>
      </w:pPr>
    </w:p>
    <w:p w14:paraId="6B8F386D" w14:textId="77777777" w:rsidR="0097080D" w:rsidRPr="003B4909" w:rsidRDefault="0097080D" w:rsidP="00F00FEF">
      <w:pPr>
        <w:rPr>
          <w:rFonts w:cs="Arial"/>
        </w:rPr>
      </w:pPr>
    </w:p>
    <w:p w14:paraId="70749D9D" w14:textId="70C9CFA7" w:rsidR="00F00FEF" w:rsidRPr="003B4909" w:rsidRDefault="00F00FEF" w:rsidP="00A36464">
      <w:pPr>
        <w:pStyle w:val="Heading1"/>
      </w:pPr>
      <w:bookmarkStart w:id="1" w:name="_Toc86323353"/>
      <w:r w:rsidRPr="003B4909">
        <w:t>Aim of the Policy</w:t>
      </w:r>
      <w:bookmarkEnd w:id="1"/>
    </w:p>
    <w:p w14:paraId="44CF7F27" w14:textId="77777777" w:rsidR="00E044B6" w:rsidRPr="003B4909" w:rsidRDefault="00E044B6" w:rsidP="00F00FEF">
      <w:pPr>
        <w:rPr>
          <w:rFonts w:cs="Arial"/>
          <w:b/>
          <w:sz w:val="28"/>
          <w:szCs w:val="28"/>
          <w:u w:val="single"/>
        </w:rPr>
      </w:pPr>
    </w:p>
    <w:p w14:paraId="674DE364" w14:textId="77777777" w:rsidR="00355A1C" w:rsidRPr="003B4909" w:rsidRDefault="00A44C1F" w:rsidP="00A36464">
      <w:pPr>
        <w:pStyle w:val="ListParagraph"/>
      </w:pPr>
      <w:r w:rsidRPr="003B4909">
        <w:t>The aims of th</w:t>
      </w:r>
      <w:r w:rsidR="001B4DA4" w:rsidRPr="003B4909">
        <w:t>is document</w:t>
      </w:r>
      <w:r w:rsidR="00355A1C" w:rsidRPr="003B4909">
        <w:t xml:space="preserve"> are</w:t>
      </w:r>
      <w:r w:rsidRPr="003B4909">
        <w:t xml:space="preserve"> to</w:t>
      </w:r>
      <w:r w:rsidR="00355A1C" w:rsidRPr="003B4909">
        <w:t>:</w:t>
      </w:r>
      <w:r w:rsidR="001B4DA4" w:rsidRPr="003B4909">
        <w:t xml:space="preserve"> </w:t>
      </w:r>
    </w:p>
    <w:p w14:paraId="32196692" w14:textId="77777777" w:rsidR="00355A1C" w:rsidRPr="003B4909" w:rsidRDefault="00355A1C" w:rsidP="00355A1C">
      <w:pPr>
        <w:rPr>
          <w:rFonts w:cs="Arial"/>
          <w:color w:val="000000"/>
        </w:rPr>
      </w:pPr>
    </w:p>
    <w:p w14:paraId="1380B074" w14:textId="47E20A81" w:rsidR="00355A1C" w:rsidRPr="00A36464" w:rsidRDefault="001B4DA4" w:rsidP="00A36464">
      <w:pPr>
        <w:pStyle w:val="ListParagraph"/>
        <w:numPr>
          <w:ilvl w:val="0"/>
          <w:numId w:val="14"/>
        </w:numPr>
        <w:rPr>
          <w:color w:val="000000"/>
        </w:rPr>
      </w:pPr>
      <w:r w:rsidRPr="00A36464">
        <w:rPr>
          <w:color w:val="000000"/>
        </w:rPr>
        <w:t xml:space="preserve">assist </w:t>
      </w:r>
      <w:r w:rsidR="00A370CF">
        <w:rPr>
          <w:color w:val="000000"/>
        </w:rPr>
        <w:t>workforce to</w:t>
      </w:r>
      <w:r w:rsidRPr="00A36464">
        <w:rPr>
          <w:color w:val="000000"/>
        </w:rPr>
        <w:t xml:space="preserve"> comply with the law</w:t>
      </w:r>
      <w:r w:rsidR="00355A1C" w:rsidRPr="00A36464">
        <w:rPr>
          <w:color w:val="000000"/>
        </w:rPr>
        <w:t>;</w:t>
      </w:r>
      <w:r w:rsidR="00A44C1F" w:rsidRPr="00A36464">
        <w:rPr>
          <w:color w:val="000000"/>
        </w:rPr>
        <w:t xml:space="preserve"> </w:t>
      </w:r>
    </w:p>
    <w:p w14:paraId="4AFE1B92" w14:textId="17799654" w:rsidR="00355A1C" w:rsidRPr="00A36464" w:rsidRDefault="001B4DA4" w:rsidP="00A36464">
      <w:pPr>
        <w:pStyle w:val="ListParagraph"/>
        <w:numPr>
          <w:ilvl w:val="0"/>
          <w:numId w:val="14"/>
        </w:numPr>
        <w:rPr>
          <w:color w:val="000000"/>
        </w:rPr>
      </w:pPr>
      <w:r w:rsidRPr="00A36464">
        <w:rPr>
          <w:color w:val="000000"/>
        </w:rPr>
        <w:t xml:space="preserve">to </w:t>
      </w:r>
      <w:r w:rsidR="00A44C1F" w:rsidRPr="00A36464">
        <w:rPr>
          <w:color w:val="000000"/>
        </w:rPr>
        <w:t>ensure</w:t>
      </w:r>
      <w:r w:rsidRPr="00A36464">
        <w:rPr>
          <w:color w:val="000000"/>
        </w:rPr>
        <w:t xml:space="preserve"> free and reasonable</w:t>
      </w:r>
      <w:r w:rsidR="00A44C1F" w:rsidRPr="00A36464">
        <w:rPr>
          <w:color w:val="000000"/>
        </w:rPr>
        <w:t xml:space="preserve"> access to information held by the </w:t>
      </w:r>
      <w:r w:rsidR="00303F20">
        <w:rPr>
          <w:color w:val="000000"/>
        </w:rPr>
        <w:t>practice;</w:t>
      </w:r>
      <w:r w:rsidR="00A44C1F" w:rsidRPr="00A36464">
        <w:rPr>
          <w:color w:val="000000"/>
        </w:rPr>
        <w:t xml:space="preserve"> </w:t>
      </w:r>
    </w:p>
    <w:p w14:paraId="11748A2E" w14:textId="77777777" w:rsidR="00355A1C" w:rsidRPr="00A36464" w:rsidRDefault="00A44C1F" w:rsidP="00A36464">
      <w:pPr>
        <w:pStyle w:val="ListParagraph"/>
        <w:numPr>
          <w:ilvl w:val="0"/>
          <w:numId w:val="14"/>
        </w:numPr>
        <w:rPr>
          <w:color w:val="000000"/>
        </w:rPr>
      </w:pPr>
      <w:r w:rsidRPr="00A36464">
        <w:rPr>
          <w:color w:val="000000"/>
        </w:rPr>
        <w:t>promote greater openness</w:t>
      </w:r>
      <w:r w:rsidR="00355A1C" w:rsidRPr="00A36464">
        <w:rPr>
          <w:color w:val="000000"/>
        </w:rPr>
        <w:t>;</w:t>
      </w:r>
      <w:r w:rsidRPr="00A36464">
        <w:rPr>
          <w:color w:val="000000"/>
        </w:rPr>
        <w:t xml:space="preserve"> </w:t>
      </w:r>
    </w:p>
    <w:p w14:paraId="3EE5CDE5" w14:textId="77777777" w:rsidR="00355A1C" w:rsidRPr="00A36464" w:rsidRDefault="00A44C1F" w:rsidP="00A36464">
      <w:pPr>
        <w:pStyle w:val="ListParagraph"/>
        <w:numPr>
          <w:ilvl w:val="0"/>
          <w:numId w:val="14"/>
        </w:numPr>
        <w:rPr>
          <w:color w:val="000000"/>
        </w:rPr>
      </w:pPr>
      <w:r w:rsidRPr="00A36464">
        <w:rPr>
          <w:color w:val="000000"/>
        </w:rPr>
        <w:t>provide increased transparency of decision making</w:t>
      </w:r>
      <w:r w:rsidR="00355A1C" w:rsidRPr="00A36464">
        <w:rPr>
          <w:color w:val="000000"/>
        </w:rPr>
        <w:t>;</w:t>
      </w:r>
      <w:r w:rsidRPr="00A36464">
        <w:rPr>
          <w:color w:val="000000"/>
        </w:rPr>
        <w:t xml:space="preserve"> and </w:t>
      </w:r>
    </w:p>
    <w:p w14:paraId="1118931A" w14:textId="77777777" w:rsidR="00355A1C" w:rsidRPr="00A36464" w:rsidRDefault="00A44C1F" w:rsidP="00A36464">
      <w:pPr>
        <w:pStyle w:val="ListParagraph"/>
        <w:numPr>
          <w:ilvl w:val="0"/>
          <w:numId w:val="14"/>
        </w:numPr>
        <w:rPr>
          <w:color w:val="000000"/>
        </w:rPr>
      </w:pPr>
      <w:r w:rsidRPr="00A36464">
        <w:rPr>
          <w:color w:val="000000"/>
        </w:rPr>
        <w:t xml:space="preserve">build public trust and confidence. </w:t>
      </w:r>
    </w:p>
    <w:p w14:paraId="76CFF5CD" w14:textId="77777777" w:rsidR="00355A1C" w:rsidRPr="003B4909" w:rsidRDefault="00355A1C" w:rsidP="00E7331F">
      <w:pPr>
        <w:rPr>
          <w:rFonts w:cs="Arial"/>
          <w:color w:val="000000"/>
        </w:rPr>
      </w:pPr>
    </w:p>
    <w:p w14:paraId="2315C3DE" w14:textId="77777777" w:rsidR="00A44C1F" w:rsidRPr="003B4909" w:rsidRDefault="00A44C1F" w:rsidP="00A36464">
      <w:pPr>
        <w:pStyle w:val="ListParagraph"/>
      </w:pPr>
      <w:r w:rsidRPr="003B4909">
        <w:lastRenderedPageBreak/>
        <w:t>These aims will be balanced against the need to ensure the confidentiality of some information relating to such areas as personal privacy, confidentiality and commercial sensitivity where disclosure would not be in the public interest.</w:t>
      </w:r>
    </w:p>
    <w:p w14:paraId="1507E202" w14:textId="77777777" w:rsidR="00A44C1F" w:rsidRPr="003B4909" w:rsidRDefault="00A44C1F" w:rsidP="00F00FEF">
      <w:pPr>
        <w:rPr>
          <w:rFonts w:cs="Arial"/>
          <w:color w:val="000000"/>
        </w:rPr>
      </w:pPr>
    </w:p>
    <w:p w14:paraId="6A762FB4" w14:textId="240C5869" w:rsidR="00A44C1F" w:rsidRPr="003B4909" w:rsidRDefault="00303F20" w:rsidP="00A36464">
      <w:pPr>
        <w:pStyle w:val="Heading1"/>
      </w:pPr>
      <w:bookmarkStart w:id="2" w:name="_Toc86323354"/>
      <w:r>
        <w:t>Our</w:t>
      </w:r>
      <w:r w:rsidR="00F53A68">
        <w:t xml:space="preserve"> </w:t>
      </w:r>
      <w:r w:rsidR="00A44C1F" w:rsidRPr="003B4909">
        <w:t>commitment</w:t>
      </w:r>
      <w:bookmarkEnd w:id="2"/>
    </w:p>
    <w:p w14:paraId="53110972" w14:textId="77777777" w:rsidR="00A44C1F" w:rsidRPr="003B4909" w:rsidRDefault="00A44C1F" w:rsidP="00F00FEF">
      <w:pPr>
        <w:rPr>
          <w:rFonts w:cs="Arial"/>
          <w:color w:val="000000"/>
        </w:rPr>
      </w:pPr>
    </w:p>
    <w:p w14:paraId="4FA43A52" w14:textId="647A0F45" w:rsidR="00A44C1F" w:rsidRPr="003B4909" w:rsidRDefault="000450F4" w:rsidP="00A36464">
      <w:pPr>
        <w:pStyle w:val="ListParagraph"/>
        <w:rPr>
          <w:b/>
          <w:u w:val="single"/>
        </w:rPr>
      </w:pPr>
      <w:r>
        <w:t xml:space="preserve">The </w:t>
      </w:r>
      <w:r w:rsidR="00303F20">
        <w:t>practice</w:t>
      </w:r>
      <w:r w:rsidR="00A44C1F" w:rsidRPr="003B4909">
        <w:t xml:space="preserve"> is committed to openness about the way in which it operates and makes decisions and </w:t>
      </w:r>
      <w:r w:rsidR="001B4DA4" w:rsidRPr="003B4909">
        <w:t>there will be a presumption in</w:t>
      </w:r>
      <w:r w:rsidR="00A44C1F" w:rsidRPr="003B4909">
        <w:t xml:space="preserve"> favour </w:t>
      </w:r>
      <w:r w:rsidR="001B4DA4" w:rsidRPr="003B4909">
        <w:t xml:space="preserve">of the </w:t>
      </w:r>
      <w:r w:rsidR="00A44C1F" w:rsidRPr="003B4909">
        <w:t>disclosure of information where</w:t>
      </w:r>
      <w:r w:rsidR="001B4DA4" w:rsidRPr="003B4909">
        <w:t xml:space="preserve"> ever</w:t>
      </w:r>
      <w:r w:rsidR="00A44C1F" w:rsidRPr="003B4909">
        <w:t xml:space="preserve"> possible. This policy sets out the general principles that will be adopted in response to requests for information under these statutory access regimes.</w:t>
      </w:r>
    </w:p>
    <w:p w14:paraId="6A5E48CF" w14:textId="77777777" w:rsidR="00E044B6" w:rsidRPr="003B4909" w:rsidRDefault="00E044B6" w:rsidP="00F00FEF">
      <w:pPr>
        <w:rPr>
          <w:rFonts w:cs="Arial"/>
        </w:rPr>
      </w:pPr>
    </w:p>
    <w:p w14:paraId="3E1C120E" w14:textId="30AE4001" w:rsidR="00F00FEF" w:rsidRPr="003B4909" w:rsidRDefault="00F00FEF" w:rsidP="00A36464">
      <w:pPr>
        <w:pStyle w:val="Heading1"/>
      </w:pPr>
      <w:bookmarkStart w:id="3" w:name="_Toc86323355"/>
      <w:r w:rsidRPr="003B4909">
        <w:t>Roles and responsibilities</w:t>
      </w:r>
      <w:bookmarkEnd w:id="3"/>
    </w:p>
    <w:p w14:paraId="55ED694B" w14:textId="77777777" w:rsidR="00E044B6" w:rsidRPr="003B4909" w:rsidRDefault="00E044B6" w:rsidP="00F00FEF">
      <w:pPr>
        <w:rPr>
          <w:rFonts w:cs="Arial"/>
          <w:b/>
          <w:sz w:val="28"/>
          <w:szCs w:val="28"/>
          <w:u w:val="single"/>
        </w:rPr>
      </w:pPr>
    </w:p>
    <w:p w14:paraId="0FED43A8" w14:textId="3AB8173A" w:rsidR="00E044B6" w:rsidRPr="003B4909" w:rsidRDefault="00F00FEF" w:rsidP="00A36464">
      <w:pPr>
        <w:pStyle w:val="ListParagraph"/>
      </w:pPr>
      <w:r w:rsidRPr="003B4909">
        <w:t>Ultimate accountability for all decisi</w:t>
      </w:r>
      <w:r w:rsidR="00E044B6" w:rsidRPr="003B4909">
        <w:t xml:space="preserve">ons made relating to Freedom of </w:t>
      </w:r>
      <w:r w:rsidRPr="003B4909">
        <w:t>Information and associated</w:t>
      </w:r>
      <w:r w:rsidR="00E044B6" w:rsidRPr="003B4909">
        <w:t xml:space="preserve"> </w:t>
      </w:r>
      <w:r w:rsidRPr="003B4909">
        <w:t xml:space="preserve">legislation lies with the </w:t>
      </w:r>
      <w:r w:rsidR="007465D6">
        <w:t>Senior Information Risk Officer (SIRO)</w:t>
      </w:r>
      <w:r w:rsidRPr="003B4909">
        <w:t xml:space="preserve">. </w:t>
      </w:r>
    </w:p>
    <w:p w14:paraId="1C493C9B" w14:textId="77777777" w:rsidR="00E044B6" w:rsidRPr="003B4909" w:rsidRDefault="00E044B6" w:rsidP="00F16470">
      <w:pPr>
        <w:ind w:left="709" w:hanging="709"/>
        <w:rPr>
          <w:rFonts w:cs="Arial"/>
        </w:rPr>
      </w:pPr>
    </w:p>
    <w:p w14:paraId="40A6BF1B" w14:textId="663D59FC" w:rsidR="00F00FEF" w:rsidRPr="003B4909" w:rsidRDefault="00F00FEF" w:rsidP="00C20BFA">
      <w:pPr>
        <w:pStyle w:val="ListParagraph"/>
      </w:pPr>
      <w:r w:rsidRPr="003B4909">
        <w:t>Application of Section 36 exemption</w:t>
      </w:r>
      <w:r w:rsidR="003D5A0A" w:rsidRPr="003B4909">
        <w:t xml:space="preserve"> (FOIA 2000)</w:t>
      </w:r>
      <w:r w:rsidRPr="003B4909">
        <w:t xml:space="preserve"> can only be </w:t>
      </w:r>
      <w:r w:rsidR="003D5A0A" w:rsidRPr="003B4909">
        <w:t xml:space="preserve">sanctioned by the </w:t>
      </w:r>
      <w:r w:rsidR="000C404B" w:rsidRPr="00243A51">
        <w:rPr>
          <w:b/>
          <w:bCs/>
        </w:rPr>
        <w:t>Practice Board</w:t>
      </w:r>
      <w:r w:rsidR="000C404B">
        <w:t xml:space="preserve"> (“</w:t>
      </w:r>
      <w:r w:rsidR="00282868">
        <w:t>the authority’s primary decision-making organ</w:t>
      </w:r>
      <w:r w:rsidR="0088003D">
        <w:t>”)</w:t>
      </w:r>
      <w:r w:rsidR="003D5A0A" w:rsidRPr="003B4909">
        <w:t xml:space="preserve">. </w:t>
      </w:r>
    </w:p>
    <w:p w14:paraId="57FE3C82" w14:textId="77777777" w:rsidR="00E044B6" w:rsidRPr="003B4909" w:rsidRDefault="00E044B6" w:rsidP="00F16470">
      <w:pPr>
        <w:ind w:left="709" w:hanging="709"/>
        <w:rPr>
          <w:rFonts w:cs="Arial"/>
        </w:rPr>
      </w:pPr>
    </w:p>
    <w:p w14:paraId="4F642EED" w14:textId="52847B1B" w:rsidR="00F00FEF" w:rsidRPr="003B4909" w:rsidRDefault="003D5A0A" w:rsidP="00A36464">
      <w:pPr>
        <w:pStyle w:val="ListParagraph"/>
      </w:pPr>
      <w:r w:rsidRPr="003B4909">
        <w:t xml:space="preserve">The </w:t>
      </w:r>
      <w:r w:rsidR="00243A51">
        <w:rPr>
          <w:b/>
        </w:rPr>
        <w:t xml:space="preserve">SIRO </w:t>
      </w:r>
      <w:r w:rsidR="00F00FEF" w:rsidRPr="003B4909">
        <w:t>is responsible for ensuring that sufficient resources are provided to support</w:t>
      </w:r>
      <w:r w:rsidRPr="003B4909">
        <w:t xml:space="preserve"> </w:t>
      </w:r>
      <w:r w:rsidR="00F00FEF" w:rsidRPr="003B4909">
        <w:t>the requirements of this policy</w:t>
      </w:r>
      <w:r w:rsidRPr="003B4909">
        <w:t xml:space="preserve"> as well as making strategic level decisions which </w:t>
      </w:r>
      <w:r w:rsidR="0037210F" w:rsidRPr="003B4909">
        <w:t xml:space="preserve">impact on how </w:t>
      </w:r>
      <w:r w:rsidR="00F35272">
        <w:t xml:space="preserve">the </w:t>
      </w:r>
      <w:r w:rsidR="004B5020">
        <w:t>practice</w:t>
      </w:r>
      <w:r w:rsidR="0037210F" w:rsidRPr="00E5084A">
        <w:t xml:space="preserve"> </w:t>
      </w:r>
      <w:r w:rsidR="0037210F" w:rsidRPr="003B4909">
        <w:t>carr</w:t>
      </w:r>
      <w:r w:rsidR="001A5FC6" w:rsidRPr="003B4909">
        <w:t>ies</w:t>
      </w:r>
      <w:r w:rsidR="0037210F" w:rsidRPr="003B4909">
        <w:t xml:space="preserve"> out </w:t>
      </w:r>
      <w:r w:rsidR="001A5FC6" w:rsidRPr="003B4909">
        <w:t>its</w:t>
      </w:r>
      <w:r w:rsidR="0037210F" w:rsidRPr="003B4909">
        <w:t xml:space="preserve"> obligations under the legislation</w:t>
      </w:r>
      <w:r w:rsidR="007D6F69" w:rsidRPr="003B4909">
        <w:t xml:space="preserve"> </w:t>
      </w:r>
      <w:r w:rsidR="00F35272">
        <w:t xml:space="preserve">The </w:t>
      </w:r>
      <w:r w:rsidR="002D5DA8">
        <w:t>Practice</w:t>
      </w:r>
      <w:r w:rsidR="00F35272">
        <w:t xml:space="preserve"> Manager </w:t>
      </w:r>
      <w:r w:rsidR="007D6F69" w:rsidRPr="003B4909">
        <w:t xml:space="preserve">is responsible for monitoring </w:t>
      </w:r>
      <w:r w:rsidR="00355A1C" w:rsidRPr="003B4909">
        <w:t xml:space="preserve">compliance </w:t>
      </w:r>
      <w:r w:rsidR="007D6F69" w:rsidRPr="003B4909">
        <w:t xml:space="preserve">within their service area and taking any necessary corrective action. </w:t>
      </w:r>
    </w:p>
    <w:p w14:paraId="516922EC" w14:textId="77777777" w:rsidR="004A0D48" w:rsidRPr="003B4909" w:rsidRDefault="004A0D48" w:rsidP="00F16470">
      <w:pPr>
        <w:ind w:left="709" w:hanging="709"/>
        <w:rPr>
          <w:rFonts w:cs="Arial"/>
        </w:rPr>
      </w:pPr>
    </w:p>
    <w:p w14:paraId="496D95FE" w14:textId="1FE1C028" w:rsidR="004A0D48" w:rsidRPr="003B4909" w:rsidRDefault="004A0D48" w:rsidP="00A36464">
      <w:pPr>
        <w:pStyle w:val="ListParagraph"/>
      </w:pPr>
      <w:r w:rsidRPr="003B4909">
        <w:t xml:space="preserve">The </w:t>
      </w:r>
      <w:r w:rsidR="000F141C" w:rsidRPr="00243A51">
        <w:rPr>
          <w:b/>
          <w:bCs/>
        </w:rPr>
        <w:t>Practice Board</w:t>
      </w:r>
      <w:r w:rsidR="002648C7" w:rsidRPr="00A370CF">
        <w:t xml:space="preserve"> </w:t>
      </w:r>
      <w:r w:rsidR="006D4630" w:rsidRPr="003B4909">
        <w:t>monitors, overse</w:t>
      </w:r>
      <w:r w:rsidR="00355A1C" w:rsidRPr="003B4909">
        <w:t>e</w:t>
      </w:r>
      <w:r w:rsidR="006D4630" w:rsidRPr="003B4909">
        <w:t xml:space="preserve">s, reports and </w:t>
      </w:r>
      <w:r w:rsidR="00AD4148" w:rsidRPr="003B4909">
        <w:t>makes</w:t>
      </w:r>
      <w:r w:rsidR="00BA4FF1" w:rsidRPr="003B4909">
        <w:t xml:space="preserve"> </w:t>
      </w:r>
      <w:r w:rsidR="006D4630" w:rsidRPr="003B4909">
        <w:t>recommend</w:t>
      </w:r>
      <w:r w:rsidR="00BA4FF1" w:rsidRPr="003B4909">
        <w:t xml:space="preserve">ations </w:t>
      </w:r>
      <w:r w:rsidR="006D4630" w:rsidRPr="003B4909">
        <w:t xml:space="preserve">on all strategic level FOI issues.   </w:t>
      </w:r>
    </w:p>
    <w:p w14:paraId="01CB6770" w14:textId="77777777" w:rsidR="00E7331F" w:rsidRPr="003B4909" w:rsidRDefault="00E7331F" w:rsidP="00E7331F">
      <w:pPr>
        <w:rPr>
          <w:rFonts w:cs="Arial"/>
          <w:b/>
        </w:rPr>
      </w:pPr>
    </w:p>
    <w:p w14:paraId="432F1994" w14:textId="17E32301" w:rsidR="0037210F" w:rsidRDefault="000F141C" w:rsidP="00961E58">
      <w:pPr>
        <w:pStyle w:val="ListParagraph"/>
      </w:pPr>
      <w:r>
        <w:rPr>
          <w:bCs/>
        </w:rPr>
        <w:t xml:space="preserve">The </w:t>
      </w:r>
      <w:r>
        <w:rPr>
          <w:b/>
        </w:rPr>
        <w:t>Data Protection Officer</w:t>
      </w:r>
      <w:r>
        <w:rPr>
          <w:bCs/>
        </w:rPr>
        <w:t xml:space="preserve"> provides advice and guidance on FOI issues, and should be consulted if there is any uncertainty as to how to handle a request.</w:t>
      </w:r>
      <w:r w:rsidR="0096793F">
        <w:rPr>
          <w:bCs/>
        </w:rPr>
        <w:t xml:space="preserve"> The DPO is </w:t>
      </w:r>
      <w:r w:rsidR="0096793F" w:rsidRPr="0096793F">
        <w:rPr>
          <w:bCs/>
        </w:rPr>
        <w:t xml:space="preserve">also responsible for dealing directly with the Information Commissioners Office and assist them as necessary in investigating a complaint made against the practice, with the assistance of the </w:t>
      </w:r>
      <w:r w:rsidR="0096793F" w:rsidRPr="00B4574E">
        <w:rPr>
          <w:b/>
        </w:rPr>
        <w:t>Practice Manager</w:t>
      </w:r>
      <w:r w:rsidR="00B4574E">
        <w:rPr>
          <w:bCs/>
        </w:rPr>
        <w:t>.</w:t>
      </w:r>
    </w:p>
    <w:p w14:paraId="45B8EDE2" w14:textId="77777777" w:rsidR="00F9144B" w:rsidRPr="00A370CF" w:rsidRDefault="00F9144B" w:rsidP="000F141C"/>
    <w:p w14:paraId="79CB0B36" w14:textId="71523D50" w:rsidR="00AC4C5B" w:rsidRPr="00B4574E" w:rsidRDefault="00AC4C5B" w:rsidP="008F3ADB">
      <w:pPr>
        <w:pStyle w:val="ListParagraph"/>
        <w:ind w:left="567" w:hanging="567"/>
      </w:pPr>
      <w:r w:rsidRPr="003B4909">
        <w:t>The</w:t>
      </w:r>
      <w:r w:rsidR="00C66D59">
        <w:t xml:space="preserve"> </w:t>
      </w:r>
      <w:r w:rsidR="00243A51" w:rsidRPr="00B4574E">
        <w:rPr>
          <w:b/>
          <w:bCs/>
        </w:rPr>
        <w:t>Practice Manage</w:t>
      </w:r>
      <w:r w:rsidR="001E4DD2" w:rsidRPr="00B4574E">
        <w:rPr>
          <w:b/>
          <w:bCs/>
        </w:rPr>
        <w:t>r</w:t>
      </w:r>
      <w:r w:rsidR="00862C3E" w:rsidRPr="003B4909">
        <w:t xml:space="preserve"> </w:t>
      </w:r>
      <w:r w:rsidR="00E7331F" w:rsidRPr="003B4909">
        <w:t>is</w:t>
      </w:r>
      <w:r w:rsidR="00A370CF">
        <w:t xml:space="preserve"> </w:t>
      </w:r>
      <w:r w:rsidRPr="003B4909">
        <w:t xml:space="preserve">responsible for </w:t>
      </w:r>
      <w:r w:rsidR="00564418" w:rsidRPr="003B4909">
        <w:t>overseeing</w:t>
      </w:r>
      <w:r w:rsidR="002C367C" w:rsidRPr="003B4909">
        <w:t xml:space="preserve"> </w:t>
      </w:r>
      <w:r w:rsidRPr="003B4909">
        <w:t>the</w:t>
      </w:r>
      <w:r w:rsidR="00862C3E" w:rsidRPr="003B4909">
        <w:t xml:space="preserve"> </w:t>
      </w:r>
      <w:r w:rsidR="00564418" w:rsidRPr="003B4909">
        <w:t>handling of the request.</w:t>
      </w:r>
      <w:r w:rsidR="00862C3E" w:rsidRPr="003B4909">
        <w:t xml:space="preserve"> The</w:t>
      </w:r>
      <w:r w:rsidR="00C66D59">
        <w:t xml:space="preserve"> </w:t>
      </w:r>
      <w:r w:rsidR="001E4DD2">
        <w:t>Practice Manager</w:t>
      </w:r>
      <w:r w:rsidR="008E4A8A">
        <w:t xml:space="preserve"> is </w:t>
      </w:r>
      <w:r w:rsidR="00862C3E" w:rsidRPr="003B4909">
        <w:t xml:space="preserve">responsible </w:t>
      </w:r>
      <w:r w:rsidR="00A45E01" w:rsidRPr="003B4909">
        <w:t xml:space="preserve">and accountable </w:t>
      </w:r>
      <w:r w:rsidR="00862C3E" w:rsidRPr="003B4909">
        <w:t>for the information that is</w:t>
      </w:r>
      <w:r w:rsidR="00A45E01" w:rsidRPr="003B4909">
        <w:t xml:space="preserve"> or </w:t>
      </w:r>
      <w:r w:rsidR="002C367C" w:rsidRPr="003B4909">
        <w:t xml:space="preserve">is </w:t>
      </w:r>
      <w:r w:rsidR="00A45E01" w:rsidRPr="003B4909">
        <w:t>not</w:t>
      </w:r>
      <w:r w:rsidR="00862C3E" w:rsidRPr="003B4909">
        <w:t xml:space="preserve"> provided. If in</w:t>
      </w:r>
      <w:r w:rsidR="00A45E01" w:rsidRPr="003B4909">
        <w:t xml:space="preserve"> any</w:t>
      </w:r>
      <w:r w:rsidR="00862C3E" w:rsidRPr="003B4909">
        <w:t xml:space="preserve"> doubt as to whether</w:t>
      </w:r>
      <w:r w:rsidR="00A45E01" w:rsidRPr="003B4909">
        <w:t xml:space="preserve"> information should be disclosed or not then</w:t>
      </w:r>
      <w:r w:rsidR="00A370CF">
        <w:t xml:space="preserve"> the </w:t>
      </w:r>
      <w:r w:rsidR="001E4DD2">
        <w:t>Practice Manager</w:t>
      </w:r>
      <w:r w:rsidR="00C66D59">
        <w:t xml:space="preserve"> </w:t>
      </w:r>
      <w:r w:rsidR="00862C3E" w:rsidRPr="003B4909">
        <w:t>should</w:t>
      </w:r>
      <w:r w:rsidR="001E4DD2">
        <w:t xml:space="preserve"> consult the DPO, who may advise that an external legal opinion is needed</w:t>
      </w:r>
      <w:r w:rsidR="00862C3E" w:rsidRPr="003B4909">
        <w:t>.</w:t>
      </w:r>
      <w:r w:rsidR="00441C2F" w:rsidRPr="003B4909">
        <w:t xml:space="preserve"> </w:t>
      </w:r>
      <w:r w:rsidR="00C66D59">
        <w:t xml:space="preserve">The </w:t>
      </w:r>
      <w:r w:rsidR="001E4DD2">
        <w:t xml:space="preserve">Practice Manager </w:t>
      </w:r>
      <w:r w:rsidR="00C66D59">
        <w:t xml:space="preserve"> </w:t>
      </w:r>
      <w:r w:rsidR="00EE1BE2" w:rsidRPr="003B4909">
        <w:t xml:space="preserve">may also be called upon to </w:t>
      </w:r>
      <w:r w:rsidR="001E4DD2">
        <w:t>u</w:t>
      </w:r>
      <w:r w:rsidR="00EE1BE2" w:rsidRPr="003B4909">
        <w:t xml:space="preserve">ndertake a review if requested by an applicant. </w:t>
      </w:r>
    </w:p>
    <w:p w14:paraId="510399DD" w14:textId="77777777" w:rsidR="004A0D48" w:rsidRPr="003B4909" w:rsidRDefault="004A0D48" w:rsidP="00F00FEF">
      <w:pPr>
        <w:rPr>
          <w:rFonts w:cs="Arial"/>
        </w:rPr>
      </w:pPr>
    </w:p>
    <w:p w14:paraId="123297EB" w14:textId="483C58B6" w:rsidR="00F00FEF" w:rsidRPr="003B4909" w:rsidRDefault="006D4630" w:rsidP="00A36464">
      <w:pPr>
        <w:pStyle w:val="Heading1"/>
      </w:pPr>
      <w:bookmarkStart w:id="4" w:name="_Toc86323356"/>
      <w:r w:rsidRPr="003B4909">
        <w:lastRenderedPageBreak/>
        <w:t>Training and Awareness</w:t>
      </w:r>
      <w:bookmarkEnd w:id="4"/>
    </w:p>
    <w:p w14:paraId="39FAC3AD" w14:textId="77777777" w:rsidR="006D4630" w:rsidRPr="003B4909" w:rsidRDefault="006D4630" w:rsidP="00F00FEF">
      <w:pPr>
        <w:rPr>
          <w:rFonts w:cs="Arial"/>
          <w:b/>
          <w:sz w:val="28"/>
          <w:szCs w:val="28"/>
        </w:rPr>
      </w:pPr>
    </w:p>
    <w:p w14:paraId="64318B41" w14:textId="0DCDC125" w:rsidR="00F00FEF" w:rsidRPr="00A370CF" w:rsidRDefault="006D4630" w:rsidP="00A36464">
      <w:pPr>
        <w:pStyle w:val="ListParagraph"/>
      </w:pPr>
      <w:r w:rsidRPr="003B4909">
        <w:t xml:space="preserve">It is mandatory that all </w:t>
      </w:r>
      <w:r w:rsidR="004B5020">
        <w:t>practice</w:t>
      </w:r>
      <w:r w:rsidR="002E606D">
        <w:t xml:space="preserve"> </w:t>
      </w:r>
      <w:r w:rsidRPr="003B4909">
        <w:t xml:space="preserve">staff (including temporary or casual </w:t>
      </w:r>
      <w:r w:rsidR="00EE1BE2" w:rsidRPr="003B4909">
        <w:t>workers</w:t>
      </w:r>
      <w:r w:rsidRPr="003B4909">
        <w:t xml:space="preserve">) undertake the </w:t>
      </w:r>
      <w:r w:rsidR="002C367C" w:rsidRPr="00A370CF">
        <w:t>E-Learning module</w:t>
      </w:r>
      <w:r w:rsidR="00B4574E">
        <w:t xml:space="preserve"> covering FOI</w:t>
      </w:r>
      <w:r w:rsidR="002C367C" w:rsidRPr="00A370CF">
        <w:t>.  N</w:t>
      </w:r>
      <w:r w:rsidRPr="00A370CF">
        <w:t xml:space="preserve">ew entrants </w:t>
      </w:r>
      <w:r w:rsidR="002C367C" w:rsidRPr="00A370CF">
        <w:t xml:space="preserve">will be expected </w:t>
      </w:r>
      <w:r w:rsidRPr="00A370CF">
        <w:t xml:space="preserve">to undertake and successfully complete the module within 5 working days of joining the </w:t>
      </w:r>
      <w:r w:rsidR="004B5020">
        <w:t>practice</w:t>
      </w:r>
      <w:r w:rsidRPr="00A370CF">
        <w:t>.  Established staff will be expected to undertake and complete re</w:t>
      </w:r>
      <w:r w:rsidR="00441C2F" w:rsidRPr="00A370CF">
        <w:t>fresher training as directed.</w:t>
      </w:r>
    </w:p>
    <w:p w14:paraId="5BB81A6C" w14:textId="77777777" w:rsidR="00047A25" w:rsidRPr="003B4909" w:rsidRDefault="00047A25" w:rsidP="00F16470">
      <w:pPr>
        <w:ind w:left="567" w:hanging="567"/>
        <w:rPr>
          <w:rFonts w:cs="Arial"/>
        </w:rPr>
      </w:pPr>
    </w:p>
    <w:p w14:paraId="40DA8AF5" w14:textId="1531CB26" w:rsidR="00047A25" w:rsidRPr="003B4909" w:rsidRDefault="00A910A5" w:rsidP="00A36464">
      <w:pPr>
        <w:pStyle w:val="ListParagraph"/>
      </w:pPr>
      <w:r>
        <w:t xml:space="preserve">Practice </w:t>
      </w:r>
      <w:r w:rsidR="00047A25" w:rsidRPr="003B4909">
        <w:t>Managers should encourage</w:t>
      </w:r>
      <w:r w:rsidR="002C367C" w:rsidRPr="003B4909">
        <w:t xml:space="preserve"> and make time for</w:t>
      </w:r>
      <w:r w:rsidR="00047A25" w:rsidRPr="003B4909">
        <w:t xml:space="preserve"> their staff to attend any further FOI training or awareness opportunities that may arise. </w:t>
      </w:r>
    </w:p>
    <w:p w14:paraId="2874BDE4" w14:textId="77777777" w:rsidR="0048706E" w:rsidRDefault="0048706E" w:rsidP="00F00FEF">
      <w:pPr>
        <w:rPr>
          <w:rFonts w:cs="Arial"/>
          <w:b/>
          <w:sz w:val="28"/>
          <w:szCs w:val="28"/>
          <w:u w:val="single"/>
        </w:rPr>
      </w:pPr>
    </w:p>
    <w:p w14:paraId="2B49C870" w14:textId="73158170" w:rsidR="00F00FEF" w:rsidRPr="003B4909" w:rsidRDefault="00F00FEF" w:rsidP="00A36464">
      <w:pPr>
        <w:pStyle w:val="Heading1"/>
      </w:pPr>
      <w:bookmarkStart w:id="5" w:name="_Toc86323357"/>
      <w:r w:rsidRPr="003B4909">
        <w:t>Requests for information</w:t>
      </w:r>
      <w:bookmarkEnd w:id="5"/>
    </w:p>
    <w:p w14:paraId="489B41C2" w14:textId="77777777" w:rsidR="00B10AFE" w:rsidRPr="003B4909" w:rsidRDefault="00B10AFE" w:rsidP="00F00FEF">
      <w:pPr>
        <w:rPr>
          <w:rFonts w:cs="Arial"/>
          <w:b/>
          <w:sz w:val="28"/>
          <w:szCs w:val="28"/>
          <w:u w:val="single"/>
        </w:rPr>
      </w:pPr>
    </w:p>
    <w:p w14:paraId="2F2FE6F9" w14:textId="71358CA3" w:rsidR="0048706E" w:rsidRPr="00A36464" w:rsidRDefault="00AD473E" w:rsidP="00A36464">
      <w:pPr>
        <w:pStyle w:val="ListParagraph"/>
        <w:rPr>
          <w:b/>
        </w:rPr>
      </w:pPr>
      <w:r w:rsidRPr="00A36464">
        <w:rPr>
          <w:b/>
        </w:rPr>
        <w:t>Different type of Information requests</w:t>
      </w:r>
    </w:p>
    <w:p w14:paraId="555256A9" w14:textId="0DC625F7" w:rsidR="001B51EE" w:rsidRPr="00A36464" w:rsidRDefault="00A35211" w:rsidP="00A36464">
      <w:pPr>
        <w:pStyle w:val="Listpara2"/>
        <w:numPr>
          <w:ilvl w:val="2"/>
          <w:numId w:val="15"/>
        </w:numPr>
      </w:pPr>
      <w:r w:rsidRPr="00A36464">
        <w:t>Not all requests for information are necessarily handled under FOIA</w:t>
      </w:r>
      <w:r w:rsidR="00A910A5">
        <w:t xml:space="preserve"> </w:t>
      </w:r>
      <w:r w:rsidRPr="00A36464">
        <w:t>/</w:t>
      </w:r>
      <w:r w:rsidR="00A910A5">
        <w:t xml:space="preserve"> </w:t>
      </w:r>
      <w:r w:rsidRPr="00A36464">
        <w:t>EIR</w:t>
      </w:r>
      <w:r w:rsidRPr="00A36464">
        <w:rPr>
          <w:rStyle w:val="Listpara2Char"/>
        </w:rPr>
        <w:t xml:space="preserve"> legislation.</w:t>
      </w:r>
      <w:r w:rsidRPr="00A36464">
        <w:t xml:space="preserve"> For instance</w:t>
      </w:r>
      <w:r w:rsidR="00166BC2">
        <w:t>,</w:t>
      </w:r>
      <w:r w:rsidRPr="00A36464">
        <w:t xml:space="preserve"> request</w:t>
      </w:r>
      <w:r w:rsidR="00166BC2">
        <w:t>s</w:t>
      </w:r>
      <w:r w:rsidRPr="00A36464">
        <w:t xml:space="preserve"> for personal information</w:t>
      </w:r>
      <w:r w:rsidR="00EE1BE2" w:rsidRPr="00A36464">
        <w:t>,</w:t>
      </w:r>
      <w:r w:rsidRPr="00A36464">
        <w:t xml:space="preserve"> belonging to the applicant themselves</w:t>
      </w:r>
      <w:r w:rsidR="00EE1BE2" w:rsidRPr="00A36464">
        <w:t>,</w:t>
      </w:r>
      <w:r w:rsidRPr="00A36464">
        <w:t xml:space="preserve"> is governed by access rights available under the </w:t>
      </w:r>
      <w:r w:rsidR="00F16470" w:rsidRPr="00A36464">
        <w:t>data protection law</w:t>
      </w:r>
      <w:r w:rsidRPr="00A36464">
        <w:t>. Also</w:t>
      </w:r>
      <w:r w:rsidR="00166BC2">
        <w:t>,</w:t>
      </w:r>
      <w:r w:rsidRPr="00A36464">
        <w:t xml:space="preserve"> where information is requested which is o</w:t>
      </w:r>
      <w:r w:rsidR="001B51EE" w:rsidRPr="00A36464">
        <w:t xml:space="preserve">f a more routine nature (see </w:t>
      </w:r>
      <w:r w:rsidRPr="00A36464">
        <w:t>examples</w:t>
      </w:r>
      <w:r w:rsidR="001B51EE" w:rsidRPr="00A36464">
        <w:t xml:space="preserve"> below</w:t>
      </w:r>
      <w:r w:rsidRPr="00A36464">
        <w:t xml:space="preserve">) </w:t>
      </w:r>
      <w:r w:rsidR="00E7331F" w:rsidRPr="00A36464">
        <w:t>these</w:t>
      </w:r>
      <w:r w:rsidRPr="00A36464">
        <w:t xml:space="preserve"> can be handled as a </w:t>
      </w:r>
      <w:r w:rsidRPr="00A36464">
        <w:rPr>
          <w:i/>
        </w:rPr>
        <w:t>business as usual</w:t>
      </w:r>
      <w:r w:rsidR="001B51EE" w:rsidRPr="00A36464">
        <w:t xml:space="preserve"> request and consequently dealt with under the </w:t>
      </w:r>
      <w:r w:rsidR="0088003D">
        <w:t>practice</w:t>
      </w:r>
      <w:r w:rsidR="007757B3">
        <w:t xml:space="preserve">’s </w:t>
      </w:r>
      <w:r w:rsidR="00E7331F" w:rsidRPr="00A36464">
        <w:t xml:space="preserve">procedures for dealing with </w:t>
      </w:r>
      <w:r w:rsidR="001B51EE" w:rsidRPr="00A36464">
        <w:t>requests</w:t>
      </w:r>
      <w:r w:rsidR="00F90A63" w:rsidRPr="00A36464">
        <w:t xml:space="preserve"> for information</w:t>
      </w:r>
      <w:r w:rsidR="001B51EE" w:rsidRPr="00A36464">
        <w:t>.</w:t>
      </w:r>
      <w:r w:rsidR="00BA4FF1" w:rsidRPr="00A36464">
        <w:t xml:space="preserve"> Requests for information that may fall within the scope </w:t>
      </w:r>
      <w:r w:rsidR="00F90A63" w:rsidRPr="00A36464">
        <w:t>of a</w:t>
      </w:r>
      <w:r w:rsidR="00BA4FF1" w:rsidRPr="00A36464">
        <w:t xml:space="preserve"> business as usual</w:t>
      </w:r>
      <w:r w:rsidR="00F90A63" w:rsidRPr="00A36464">
        <w:t xml:space="preserve"> request</w:t>
      </w:r>
      <w:r w:rsidR="00BA4FF1" w:rsidRPr="00A36464">
        <w:t xml:space="preserve"> may include but is not limited to the following examples:</w:t>
      </w:r>
    </w:p>
    <w:p w14:paraId="52D38083" w14:textId="77777777" w:rsidR="001B51EE" w:rsidRPr="003B4909" w:rsidRDefault="001B51EE" w:rsidP="00F00FEF">
      <w:pPr>
        <w:rPr>
          <w:rFonts w:cs="Arial"/>
        </w:rPr>
      </w:pPr>
    </w:p>
    <w:p w14:paraId="16F609BE" w14:textId="5F0ED8AA" w:rsidR="001B51EE" w:rsidRDefault="001B51EE" w:rsidP="00AD3F80">
      <w:pPr>
        <w:ind w:left="720"/>
        <w:rPr>
          <w:rFonts w:cs="Arial"/>
          <w:i/>
        </w:rPr>
      </w:pPr>
      <w:r w:rsidRPr="003B4909">
        <w:rPr>
          <w:rFonts w:cs="Arial"/>
          <w:i/>
        </w:rPr>
        <w:t>Re</w:t>
      </w:r>
      <w:r w:rsidR="004900A9" w:rsidRPr="003B4909">
        <w:rPr>
          <w:rFonts w:cs="Arial"/>
          <w:i/>
        </w:rPr>
        <w:t>ques</w:t>
      </w:r>
      <w:r w:rsidR="00BA4FF1" w:rsidRPr="003B4909">
        <w:rPr>
          <w:rFonts w:cs="Arial"/>
          <w:i/>
        </w:rPr>
        <w:t xml:space="preserve">ts for </w:t>
      </w:r>
      <w:r w:rsidR="004B5020">
        <w:rPr>
          <w:rFonts w:cs="Arial"/>
          <w:i/>
        </w:rPr>
        <w:t>practice</w:t>
      </w:r>
      <w:r w:rsidR="004900A9" w:rsidRPr="003B4909">
        <w:rPr>
          <w:rFonts w:cs="Arial"/>
          <w:i/>
        </w:rPr>
        <w:t xml:space="preserve"> leaflets</w:t>
      </w:r>
      <w:r w:rsidR="00BA4FF1" w:rsidRPr="003B4909">
        <w:rPr>
          <w:rFonts w:cs="Arial"/>
          <w:i/>
        </w:rPr>
        <w:t>, brochures</w:t>
      </w:r>
      <w:r w:rsidR="004900A9" w:rsidRPr="003B4909">
        <w:rPr>
          <w:rFonts w:cs="Arial"/>
          <w:i/>
        </w:rPr>
        <w:t xml:space="preserve"> or other publications</w:t>
      </w:r>
    </w:p>
    <w:p w14:paraId="42381CAF" w14:textId="7DB13A64" w:rsidR="00A370CF" w:rsidRDefault="00A370CF" w:rsidP="00AD3F80">
      <w:pPr>
        <w:ind w:left="720"/>
        <w:rPr>
          <w:rFonts w:cs="Arial"/>
          <w:i/>
        </w:rPr>
      </w:pPr>
    </w:p>
    <w:p w14:paraId="1319FFD9" w14:textId="42980818" w:rsidR="00A370CF" w:rsidRPr="003B4909" w:rsidRDefault="004B5020" w:rsidP="00AD3F80">
      <w:pPr>
        <w:ind w:left="720"/>
        <w:rPr>
          <w:rFonts w:cs="Arial"/>
          <w:i/>
        </w:rPr>
      </w:pPr>
      <w:r>
        <w:rPr>
          <w:rFonts w:cs="Arial"/>
          <w:i/>
        </w:rPr>
        <w:t>practice</w:t>
      </w:r>
      <w:r w:rsidR="00A370CF">
        <w:rPr>
          <w:rFonts w:cs="Arial"/>
          <w:i/>
        </w:rPr>
        <w:t xml:space="preserve"> opening times, </w:t>
      </w:r>
      <w:r w:rsidR="00A910A5">
        <w:rPr>
          <w:rFonts w:cs="Arial"/>
          <w:i/>
        </w:rPr>
        <w:t>contact details.</w:t>
      </w:r>
    </w:p>
    <w:p w14:paraId="77E083EE" w14:textId="77777777" w:rsidR="00AD3F80" w:rsidRPr="003B4909" w:rsidRDefault="00AD3F80" w:rsidP="00AD3F80">
      <w:pPr>
        <w:ind w:left="720"/>
        <w:rPr>
          <w:rFonts w:cs="Arial"/>
          <w:i/>
        </w:rPr>
      </w:pPr>
    </w:p>
    <w:p w14:paraId="3E10850E" w14:textId="4B6D6A8F" w:rsidR="004900A9" w:rsidRPr="00A370CF" w:rsidRDefault="00327B5B" w:rsidP="00AD3F80">
      <w:pPr>
        <w:ind w:left="720"/>
        <w:rPr>
          <w:rFonts w:cs="Arial"/>
          <w:i/>
        </w:rPr>
      </w:pPr>
      <w:r w:rsidRPr="00A370CF">
        <w:rPr>
          <w:rFonts w:cs="Arial"/>
          <w:i/>
        </w:rPr>
        <w:t>Routine i</w:t>
      </w:r>
      <w:r w:rsidR="004900A9" w:rsidRPr="00A370CF">
        <w:rPr>
          <w:rFonts w:cs="Arial"/>
          <w:i/>
        </w:rPr>
        <w:t xml:space="preserve">nformation </w:t>
      </w:r>
      <w:r w:rsidRPr="00A370CF">
        <w:rPr>
          <w:rFonts w:cs="Arial"/>
          <w:i/>
        </w:rPr>
        <w:t>regarding</w:t>
      </w:r>
      <w:r w:rsidR="004900A9" w:rsidRPr="00A370CF">
        <w:rPr>
          <w:rFonts w:cs="Arial"/>
          <w:i/>
        </w:rPr>
        <w:t xml:space="preserve"> </w:t>
      </w:r>
      <w:r w:rsidR="0088003D">
        <w:rPr>
          <w:rFonts w:cs="Arial"/>
          <w:i/>
        </w:rPr>
        <w:t>practice</w:t>
      </w:r>
      <w:r w:rsidR="00A370CF">
        <w:rPr>
          <w:rFonts w:cs="Arial"/>
          <w:i/>
        </w:rPr>
        <w:t xml:space="preserve"> </w:t>
      </w:r>
      <w:r w:rsidR="004900A9" w:rsidRPr="00A370CF">
        <w:rPr>
          <w:rFonts w:cs="Arial"/>
          <w:i/>
        </w:rPr>
        <w:t>services (</w:t>
      </w:r>
      <w:r w:rsidR="0081035D" w:rsidRPr="00A370CF">
        <w:rPr>
          <w:rFonts w:cs="Arial"/>
          <w:i/>
        </w:rPr>
        <w:t>e.g.</w:t>
      </w:r>
      <w:r w:rsidR="004900A9" w:rsidRPr="00A370CF">
        <w:rPr>
          <w:rFonts w:cs="Arial"/>
          <w:i/>
        </w:rPr>
        <w:t xml:space="preserve"> </w:t>
      </w:r>
      <w:r w:rsidR="00A910A5">
        <w:rPr>
          <w:rFonts w:cs="Arial"/>
          <w:i/>
        </w:rPr>
        <w:t>clinics</w:t>
      </w:r>
      <w:r w:rsidR="007B121D">
        <w:rPr>
          <w:rFonts w:cs="Arial"/>
          <w:i/>
        </w:rPr>
        <w:t>, immunisations</w:t>
      </w:r>
      <w:r w:rsidR="004900A9" w:rsidRPr="00A370CF">
        <w:rPr>
          <w:rFonts w:cs="Arial"/>
          <w:i/>
        </w:rPr>
        <w:t>)</w:t>
      </w:r>
    </w:p>
    <w:p w14:paraId="1ACD4CD8" w14:textId="77777777" w:rsidR="00AD3F80" w:rsidRPr="003B4909" w:rsidRDefault="00AD3F80" w:rsidP="00AD3F80">
      <w:pPr>
        <w:ind w:left="720"/>
        <w:rPr>
          <w:rFonts w:cs="Arial"/>
          <w:i/>
        </w:rPr>
      </w:pPr>
    </w:p>
    <w:p w14:paraId="5109BD61" w14:textId="77777777" w:rsidR="004900A9" w:rsidRPr="003B4909" w:rsidRDefault="00327B5B" w:rsidP="00AD3F80">
      <w:pPr>
        <w:ind w:left="720"/>
        <w:rPr>
          <w:rFonts w:cs="Arial"/>
          <w:i/>
        </w:rPr>
      </w:pPr>
      <w:r w:rsidRPr="003B4909">
        <w:rPr>
          <w:rFonts w:cs="Arial"/>
          <w:i/>
        </w:rPr>
        <w:t xml:space="preserve">Any other type of </w:t>
      </w:r>
      <w:r w:rsidR="004900A9" w:rsidRPr="003B4909">
        <w:rPr>
          <w:rFonts w:cs="Arial"/>
          <w:i/>
        </w:rPr>
        <w:t>information</w:t>
      </w:r>
      <w:r w:rsidR="00A654BA" w:rsidRPr="003B4909">
        <w:rPr>
          <w:rFonts w:cs="Arial"/>
          <w:i/>
        </w:rPr>
        <w:t xml:space="preserve"> request</w:t>
      </w:r>
      <w:r w:rsidR="00AD3F80" w:rsidRPr="003B4909">
        <w:rPr>
          <w:rFonts w:cs="Arial"/>
          <w:i/>
        </w:rPr>
        <w:t>s</w:t>
      </w:r>
      <w:r w:rsidR="004900A9" w:rsidRPr="003B4909">
        <w:rPr>
          <w:rFonts w:cs="Arial"/>
          <w:i/>
        </w:rPr>
        <w:t xml:space="preserve"> </w:t>
      </w:r>
      <w:r w:rsidRPr="003B4909">
        <w:rPr>
          <w:rFonts w:cs="Arial"/>
          <w:i/>
        </w:rPr>
        <w:t>that</w:t>
      </w:r>
      <w:r w:rsidR="004900A9" w:rsidRPr="003B4909">
        <w:rPr>
          <w:rFonts w:cs="Arial"/>
          <w:i/>
        </w:rPr>
        <w:t xml:space="preserve"> are routinely handled</w:t>
      </w:r>
      <w:r w:rsidRPr="003B4909">
        <w:rPr>
          <w:rFonts w:cs="Arial"/>
          <w:i/>
        </w:rPr>
        <w:t xml:space="preserve"> and delivered</w:t>
      </w:r>
      <w:r w:rsidR="004900A9" w:rsidRPr="003B4909">
        <w:rPr>
          <w:rFonts w:cs="Arial"/>
          <w:i/>
        </w:rPr>
        <w:t xml:space="preserve"> over the phone</w:t>
      </w:r>
      <w:r w:rsidR="00AD3F80" w:rsidRPr="003B4909">
        <w:rPr>
          <w:rFonts w:cs="Arial"/>
          <w:i/>
        </w:rPr>
        <w:t>.</w:t>
      </w:r>
    </w:p>
    <w:p w14:paraId="7DB313F1" w14:textId="77777777" w:rsidR="00B10AFE" w:rsidRPr="003B4909" w:rsidRDefault="001B51EE" w:rsidP="00F00FEF">
      <w:pPr>
        <w:rPr>
          <w:rFonts w:cs="Arial"/>
        </w:rPr>
      </w:pPr>
      <w:r w:rsidRPr="003B4909">
        <w:rPr>
          <w:rFonts w:cs="Arial"/>
        </w:rPr>
        <w:t xml:space="preserve"> </w:t>
      </w:r>
    </w:p>
    <w:p w14:paraId="5A10FF5B" w14:textId="3FD6D6E0" w:rsidR="00AD3F80" w:rsidRPr="003B4909" w:rsidRDefault="00AD3F80" w:rsidP="00A36464">
      <w:pPr>
        <w:pStyle w:val="Listpara2"/>
      </w:pPr>
      <w:r w:rsidRPr="003B4909">
        <w:t xml:space="preserve">If </w:t>
      </w:r>
      <w:r w:rsidR="00852B5D" w:rsidRPr="003B4909">
        <w:t xml:space="preserve">in </w:t>
      </w:r>
      <w:r w:rsidRPr="003B4909">
        <w:t xml:space="preserve">any doubt as to whether the request should be handled under FOIA or “business as usual” it is recommended that you treat under the former to reduce the </w:t>
      </w:r>
      <w:r w:rsidR="00327B5B" w:rsidRPr="003B4909">
        <w:t xml:space="preserve">risk of non-compliance with </w:t>
      </w:r>
      <w:r w:rsidRPr="003B4909">
        <w:t>FOIA.</w:t>
      </w:r>
    </w:p>
    <w:p w14:paraId="59213B2C" w14:textId="77777777" w:rsidR="00AD3F80" w:rsidRPr="003B4909" w:rsidRDefault="00AD3F80" w:rsidP="00F00FEF">
      <w:pPr>
        <w:rPr>
          <w:rFonts w:cs="Arial"/>
        </w:rPr>
      </w:pPr>
    </w:p>
    <w:p w14:paraId="6AE7DD26" w14:textId="2FFE2791" w:rsidR="00852B5D" w:rsidRPr="00A36464" w:rsidRDefault="00852B5D" w:rsidP="00A36464">
      <w:pPr>
        <w:pStyle w:val="ListParagraph"/>
        <w:rPr>
          <w:b/>
        </w:rPr>
      </w:pPr>
      <w:r w:rsidRPr="00A36464">
        <w:rPr>
          <w:b/>
        </w:rPr>
        <w:t>Methods of making a request under FOIA</w:t>
      </w:r>
    </w:p>
    <w:p w14:paraId="5C1BF6A9" w14:textId="143EEF63" w:rsidR="00852B5D" w:rsidRPr="003B4909" w:rsidRDefault="00EE1BE2" w:rsidP="00A36464">
      <w:pPr>
        <w:pStyle w:val="Listpara2"/>
        <w:numPr>
          <w:ilvl w:val="2"/>
          <w:numId w:val="16"/>
        </w:numPr>
      </w:pPr>
      <w:r w:rsidRPr="003B4909">
        <w:t>All requests must be made in writing</w:t>
      </w:r>
      <w:r w:rsidR="00AD3F80" w:rsidRPr="003B4909">
        <w:t xml:space="preserve">. </w:t>
      </w:r>
    </w:p>
    <w:p w14:paraId="37D294FA" w14:textId="77777777" w:rsidR="00852B5D" w:rsidRPr="003B4909" w:rsidRDefault="00852B5D" w:rsidP="00F16470">
      <w:pPr>
        <w:ind w:left="567" w:hanging="567"/>
        <w:rPr>
          <w:rFonts w:cs="Arial"/>
        </w:rPr>
      </w:pPr>
    </w:p>
    <w:p w14:paraId="24A9FDA9" w14:textId="10291A63" w:rsidR="00AD3F80" w:rsidRPr="003B4909" w:rsidRDefault="00BB291E" w:rsidP="00A36464">
      <w:pPr>
        <w:pStyle w:val="Listpara2"/>
      </w:pPr>
      <w:r w:rsidRPr="003B4909">
        <w:t>However,</w:t>
      </w:r>
      <w:r w:rsidR="00AD3F80" w:rsidRPr="003B4909">
        <w:t xml:space="preserve"> the legislation does not oblige the requestor to submit the request on-line and</w:t>
      </w:r>
      <w:r w:rsidR="009F4E26" w:rsidRPr="003B4909">
        <w:t xml:space="preserve"> </w:t>
      </w:r>
      <w:r w:rsidR="00327B5B" w:rsidRPr="003B4909">
        <w:t xml:space="preserve">the request is acceptable </w:t>
      </w:r>
      <w:r w:rsidR="00BE6679" w:rsidRPr="003B4909">
        <w:t>by</w:t>
      </w:r>
      <w:r w:rsidR="00AD3F80" w:rsidRPr="003B4909">
        <w:t xml:space="preserve"> post by email or fax</w:t>
      </w:r>
      <w:r w:rsidR="009F4E26" w:rsidRPr="003B4909">
        <w:t>. The</w:t>
      </w:r>
      <w:r w:rsidR="00AD3F80" w:rsidRPr="003B4909">
        <w:t xml:space="preserve"> clock</w:t>
      </w:r>
      <w:r w:rsidR="00F90A63" w:rsidRPr="003B4909">
        <w:t xml:space="preserve"> (public bodies have 20 working days to respond),</w:t>
      </w:r>
      <w:r w:rsidR="00AD3F80" w:rsidRPr="003B4909">
        <w:t xml:space="preserve"> will start as </w:t>
      </w:r>
      <w:r w:rsidR="00AD3F80" w:rsidRPr="003B4909">
        <w:lastRenderedPageBreak/>
        <w:t xml:space="preserve">soon as the request arrives in the </w:t>
      </w:r>
      <w:r w:rsidR="004B5020">
        <w:t>practice</w:t>
      </w:r>
      <w:r w:rsidR="00FE1380">
        <w:t xml:space="preserve"> </w:t>
      </w:r>
      <w:r w:rsidR="00AD3F80" w:rsidRPr="003B4909">
        <w:t>(</w:t>
      </w:r>
      <w:r w:rsidR="00327B5B" w:rsidRPr="003B4909">
        <w:t xml:space="preserve">and </w:t>
      </w:r>
      <w:r w:rsidR="00AD3F80" w:rsidRPr="003B4909">
        <w:t>not necessarily from the day the responsible officer receives</w:t>
      </w:r>
      <w:r w:rsidR="00E63247" w:rsidRPr="003B4909">
        <w:t xml:space="preserve"> or reads</w:t>
      </w:r>
      <w:r w:rsidR="00AD3F80" w:rsidRPr="003B4909">
        <w:t xml:space="preserve"> it). This is why it is essential that there is no delay in </w:t>
      </w:r>
      <w:r w:rsidR="009A6FBE" w:rsidRPr="003B4909">
        <w:t>handling the request and that it</w:t>
      </w:r>
      <w:r w:rsidR="00AD3F80" w:rsidRPr="003B4909">
        <w:t xml:space="preserve"> is directed to the</w:t>
      </w:r>
      <w:r w:rsidR="00FE1380">
        <w:t xml:space="preserve"> </w:t>
      </w:r>
      <w:r w:rsidR="007B121D">
        <w:t>Practice Manager</w:t>
      </w:r>
      <w:r w:rsidR="00FE1380">
        <w:t xml:space="preserve"> </w:t>
      </w:r>
      <w:r w:rsidR="00AD3F80" w:rsidRPr="003B4909">
        <w:t xml:space="preserve">as soon as possible. </w:t>
      </w:r>
      <w:r w:rsidR="00327B5B" w:rsidRPr="003B4909">
        <w:t>By doing this there is a reduced risk</w:t>
      </w:r>
      <w:r w:rsidR="00556087" w:rsidRPr="003B4909">
        <w:t xml:space="preserve"> that the request is missed or delayed</w:t>
      </w:r>
      <w:r w:rsidR="00AD3F80" w:rsidRPr="003B4909">
        <w:t>.</w:t>
      </w:r>
    </w:p>
    <w:p w14:paraId="2874F0C5" w14:textId="77777777" w:rsidR="00AD3F80" w:rsidRPr="003B4909" w:rsidRDefault="00AD3F80" w:rsidP="00F16470">
      <w:pPr>
        <w:ind w:left="567" w:hanging="567"/>
        <w:rPr>
          <w:rFonts w:cs="Arial"/>
        </w:rPr>
      </w:pPr>
    </w:p>
    <w:p w14:paraId="29458E22" w14:textId="79EFB883" w:rsidR="009F4E26" w:rsidRDefault="009F4E26" w:rsidP="00A36464">
      <w:pPr>
        <w:pStyle w:val="Listpara2"/>
      </w:pPr>
      <w:r w:rsidRPr="003B4909">
        <w:t xml:space="preserve">Although requests under FOIA cannot be made verbally the legislation permits environmental information made under EIR to be made </w:t>
      </w:r>
      <w:r w:rsidR="00327B5B" w:rsidRPr="003B4909">
        <w:t>in this manner</w:t>
      </w:r>
      <w:r w:rsidRPr="003B4909">
        <w:t xml:space="preserve"> either </w:t>
      </w:r>
      <w:r w:rsidR="00327B5B" w:rsidRPr="003B4909">
        <w:t>over the</w:t>
      </w:r>
      <w:r w:rsidRPr="003B4909">
        <w:t xml:space="preserve"> phone or in person. </w:t>
      </w:r>
      <w:r w:rsidR="009A6FBE" w:rsidRPr="003B4909">
        <w:t>However wherever possible the applicant should be encouraged to make the request in writing</w:t>
      </w:r>
      <w:r w:rsidRPr="003B4909">
        <w:t>.</w:t>
      </w:r>
    </w:p>
    <w:p w14:paraId="4ADEF664" w14:textId="77777777" w:rsidR="004862E0" w:rsidRDefault="004862E0" w:rsidP="004862E0">
      <w:pPr>
        <w:pStyle w:val="ListParagraph"/>
        <w:numPr>
          <w:ilvl w:val="0"/>
          <w:numId w:val="0"/>
        </w:numPr>
        <w:ind w:left="720"/>
      </w:pPr>
    </w:p>
    <w:p w14:paraId="7C866509" w14:textId="6E922263" w:rsidR="004862E0" w:rsidRPr="003B4909" w:rsidRDefault="004862E0" w:rsidP="00A36464">
      <w:pPr>
        <w:pStyle w:val="Listpara2"/>
      </w:pPr>
      <w:r>
        <w:t xml:space="preserve">A common issue is persons confusing the FOI regulations with the Data Protection Regulations e.g. “I want to make an FOI request for my patient record”. </w:t>
      </w:r>
      <w:r w:rsidR="002C2BBE">
        <w:t xml:space="preserve">We need to respond to the FOI request </w:t>
      </w:r>
      <w:r w:rsidR="002C2BBE">
        <w:rPr>
          <w:b/>
          <w:bCs/>
        </w:rPr>
        <w:t>even if it is clearly invalid because it is the personal data of the applicant.</w:t>
      </w:r>
      <w:r w:rsidR="002A05ED">
        <w:t xml:space="preserve"> </w:t>
      </w:r>
      <w:r w:rsidR="00B41C06">
        <w:t>A template response to these is given</w:t>
      </w:r>
      <w:r w:rsidR="00742571">
        <w:t xml:space="preserve"> at </w:t>
      </w:r>
      <w:r w:rsidR="00701452">
        <w:fldChar w:fldCharType="begin"/>
      </w:r>
      <w:r w:rsidR="00701452">
        <w:instrText xml:space="preserve"> REF _Ref86323280 \r \h </w:instrText>
      </w:r>
      <w:r w:rsidR="00701452">
        <w:fldChar w:fldCharType="separate"/>
      </w:r>
      <w:r w:rsidR="00701452">
        <w:t>Appendix 4</w:t>
      </w:r>
      <w:r w:rsidR="00701452">
        <w:fldChar w:fldCharType="end"/>
      </w:r>
      <w:r w:rsidR="00701452">
        <w:t>.</w:t>
      </w:r>
    </w:p>
    <w:p w14:paraId="6C6A7CA6" w14:textId="77777777" w:rsidR="009F4E26" w:rsidRPr="003B4909" w:rsidRDefault="009F4E26" w:rsidP="00F00FEF">
      <w:pPr>
        <w:rPr>
          <w:rFonts w:cs="Arial"/>
        </w:rPr>
      </w:pPr>
    </w:p>
    <w:p w14:paraId="39F7A6E1" w14:textId="1949E0A8" w:rsidR="00F80F49" w:rsidRDefault="0068430B" w:rsidP="00A36464">
      <w:pPr>
        <w:pStyle w:val="Heading1"/>
      </w:pPr>
      <w:bookmarkStart w:id="6" w:name="_Toc86323358"/>
      <w:r w:rsidRPr="003B4909">
        <w:t>Handling Requests</w:t>
      </w:r>
      <w:bookmarkEnd w:id="6"/>
    </w:p>
    <w:p w14:paraId="423C43E1" w14:textId="000E9228" w:rsidR="00FE1380" w:rsidRPr="00FE1380" w:rsidRDefault="00FE1380" w:rsidP="00961E58"/>
    <w:p w14:paraId="6CC9C6C6" w14:textId="77777777" w:rsidR="00F80F49" w:rsidRPr="003B4909" w:rsidRDefault="00F80F49" w:rsidP="00F00FEF">
      <w:pPr>
        <w:rPr>
          <w:rFonts w:cs="Arial"/>
        </w:rPr>
      </w:pPr>
    </w:p>
    <w:p w14:paraId="023F59A2" w14:textId="6104FAF9" w:rsidR="00AC4C5B" w:rsidRPr="00A36464" w:rsidRDefault="00AC4C5B" w:rsidP="00A36464">
      <w:pPr>
        <w:pStyle w:val="ListParagraph"/>
        <w:rPr>
          <w:b/>
        </w:rPr>
      </w:pPr>
      <w:r w:rsidRPr="00A36464">
        <w:rPr>
          <w:b/>
        </w:rPr>
        <w:t>Time limit for responding to a request</w:t>
      </w:r>
    </w:p>
    <w:p w14:paraId="535E3ED8" w14:textId="2F78063C" w:rsidR="00971EA8" w:rsidRPr="003B4909" w:rsidRDefault="00AC4C5B" w:rsidP="00A36464">
      <w:pPr>
        <w:pStyle w:val="Listpara2"/>
        <w:numPr>
          <w:ilvl w:val="2"/>
          <w:numId w:val="18"/>
        </w:numPr>
      </w:pPr>
      <w:r w:rsidRPr="003B4909">
        <w:t xml:space="preserve">Although the </w:t>
      </w:r>
      <w:r w:rsidR="004B5020">
        <w:t>practice</w:t>
      </w:r>
      <w:r w:rsidR="00665244">
        <w:t xml:space="preserve"> </w:t>
      </w:r>
      <w:r w:rsidRPr="003B4909">
        <w:t xml:space="preserve">has 20 working days to comply with a request, </w:t>
      </w:r>
      <w:r w:rsidR="00A370CF">
        <w:t xml:space="preserve">the </w:t>
      </w:r>
      <w:r w:rsidR="0088003D">
        <w:t>practice</w:t>
      </w:r>
      <w:r w:rsidR="00A370CF">
        <w:t xml:space="preserve"> is</w:t>
      </w:r>
      <w:r w:rsidRPr="003B4909">
        <w:t xml:space="preserve"> expected to respond to the request as quickly as is reasonably possible, given the resources available and the complexity of the request. In any event the time limit</w:t>
      </w:r>
      <w:r w:rsidR="008D4C4C" w:rsidRPr="003B4909">
        <w:t xml:space="preserve"> allowed</w:t>
      </w:r>
      <w:r w:rsidRPr="003B4909">
        <w:t xml:space="preserve"> should be seen as an absolute maxim</w:t>
      </w:r>
      <w:r w:rsidR="008D4C4C" w:rsidRPr="003B4909">
        <w:t>um</w:t>
      </w:r>
      <w:r w:rsidR="00C45257" w:rsidRPr="003B4909">
        <w:t xml:space="preserve">, </w:t>
      </w:r>
      <w:r w:rsidRPr="003B4909">
        <w:t>rather than a target</w:t>
      </w:r>
      <w:r w:rsidR="008D4C4C" w:rsidRPr="003B4909">
        <w:t xml:space="preserve"> for responding</w:t>
      </w:r>
      <w:r w:rsidRPr="003B4909">
        <w:t xml:space="preserve"> and resources will need to be managed accordingly to ensure that th</w:t>
      </w:r>
      <w:r w:rsidR="00D54884" w:rsidRPr="003B4909">
        <w:t>e statutory</w:t>
      </w:r>
      <w:r w:rsidRPr="003B4909">
        <w:t xml:space="preserve"> limit is not breached. </w:t>
      </w:r>
    </w:p>
    <w:p w14:paraId="619DB7A4" w14:textId="77777777" w:rsidR="00971EA8" w:rsidRPr="003B4909" w:rsidRDefault="00971EA8" w:rsidP="00AC4C5B">
      <w:pPr>
        <w:rPr>
          <w:rFonts w:cs="Arial"/>
        </w:rPr>
      </w:pPr>
    </w:p>
    <w:p w14:paraId="7A9AF0E1" w14:textId="5EB4692B" w:rsidR="00AC4C5B" w:rsidRPr="003B4909" w:rsidRDefault="00E01FFD" w:rsidP="00A36464">
      <w:pPr>
        <w:pStyle w:val="Listpara2"/>
      </w:pPr>
      <w:r>
        <w:t>It</w:t>
      </w:r>
      <w:r w:rsidR="00AC4C5B" w:rsidRPr="003B4909">
        <w:t xml:space="preserve"> should be noted that in cases where additional information is sought from the applicant to help locate the information requested, or if a charge notice has been issued (in the event that the charging policy applies)</w:t>
      </w:r>
      <w:r w:rsidR="00D54884" w:rsidRPr="003B4909">
        <w:t>,</w:t>
      </w:r>
      <w:r w:rsidR="00AC4C5B" w:rsidRPr="003B4909">
        <w:t xml:space="preserve"> the waiting period is not counted towards the 20 days allowed. </w:t>
      </w:r>
    </w:p>
    <w:p w14:paraId="2517F3EE" w14:textId="77777777" w:rsidR="00C45257" w:rsidRPr="003B4909" w:rsidRDefault="00C45257" w:rsidP="00AC4C5B">
      <w:pPr>
        <w:rPr>
          <w:rFonts w:cs="Arial"/>
        </w:rPr>
      </w:pPr>
    </w:p>
    <w:p w14:paraId="22F5C59C" w14:textId="3C97F05E" w:rsidR="00C45257" w:rsidRPr="003B4909" w:rsidRDefault="00C45257" w:rsidP="00A36464">
      <w:pPr>
        <w:pStyle w:val="Listpara2"/>
      </w:pPr>
      <w:r w:rsidRPr="003B4909">
        <w:t xml:space="preserve">Where a request is transferred from another </w:t>
      </w:r>
      <w:r w:rsidR="0088003D">
        <w:t>practice</w:t>
      </w:r>
      <w:r w:rsidR="00083D77">
        <w:t xml:space="preserve"> </w:t>
      </w:r>
      <w:r w:rsidRPr="003B4909">
        <w:t xml:space="preserve">to </w:t>
      </w:r>
      <w:r w:rsidR="005A6E1F">
        <w:t xml:space="preserve">the </w:t>
      </w:r>
      <w:r w:rsidR="0088003D">
        <w:t>practice</w:t>
      </w:r>
      <w:r w:rsidR="005A6E1F">
        <w:t xml:space="preserve"> </w:t>
      </w:r>
      <w:r w:rsidRPr="003B4909">
        <w:t>(e</w:t>
      </w:r>
      <w:r w:rsidR="00666A69">
        <w:t>.</w:t>
      </w:r>
      <w:r w:rsidRPr="003B4909">
        <w:t>g</w:t>
      </w:r>
      <w:r w:rsidR="00666A69">
        <w:t>.</w:t>
      </w:r>
      <w:r w:rsidR="007C1993">
        <w:t xml:space="preserve"> </w:t>
      </w:r>
      <w:r w:rsidRPr="003B4909">
        <w:t xml:space="preserve">another </w:t>
      </w:r>
      <w:r w:rsidR="0088003D">
        <w:t>practice</w:t>
      </w:r>
      <w:r w:rsidRPr="003B4909">
        <w:t xml:space="preserve">) as it was identified that </w:t>
      </w:r>
      <w:r w:rsidR="005A6E1F">
        <w:t xml:space="preserve">the </w:t>
      </w:r>
      <w:r w:rsidR="004B5020">
        <w:t>practice</w:t>
      </w:r>
      <w:r w:rsidRPr="003B4909">
        <w:t xml:space="preserve"> held </w:t>
      </w:r>
      <w:r w:rsidR="009C1F6E" w:rsidRPr="003B4909">
        <w:t>part,</w:t>
      </w:r>
      <w:r w:rsidRPr="003B4909">
        <w:t xml:space="preserve"> or all of the information requested, the first day of the statutory period will be the first working day after </w:t>
      </w:r>
      <w:r w:rsidR="005A6E1F">
        <w:t xml:space="preserve">the </w:t>
      </w:r>
      <w:r w:rsidR="004B5020">
        <w:t>practice</w:t>
      </w:r>
      <w:r w:rsidR="005A6E1F">
        <w:t xml:space="preserve"> </w:t>
      </w:r>
      <w:r w:rsidRPr="003B4909">
        <w:t>receives the transferred request</w:t>
      </w:r>
      <w:r w:rsidR="00402D1F">
        <w:t>.</w:t>
      </w:r>
    </w:p>
    <w:p w14:paraId="49AAA479" w14:textId="77777777" w:rsidR="00267BA3" w:rsidRDefault="00267BA3" w:rsidP="00AC4C5B">
      <w:pPr>
        <w:rPr>
          <w:rFonts w:cs="Arial"/>
        </w:rPr>
      </w:pPr>
    </w:p>
    <w:p w14:paraId="792FDA66" w14:textId="6DA6C100" w:rsidR="00267BA3" w:rsidRPr="00A36464" w:rsidRDefault="00267BA3" w:rsidP="00A36464">
      <w:pPr>
        <w:pStyle w:val="ListParagraph"/>
        <w:rPr>
          <w:b/>
        </w:rPr>
      </w:pPr>
      <w:r w:rsidRPr="00A36464">
        <w:rPr>
          <w:b/>
        </w:rPr>
        <w:t>Contentious or novel requests</w:t>
      </w:r>
    </w:p>
    <w:p w14:paraId="3BDA6707" w14:textId="77777777" w:rsidR="00267BA3" w:rsidRPr="003B4909" w:rsidRDefault="00267BA3" w:rsidP="00AC4C5B">
      <w:pPr>
        <w:rPr>
          <w:rFonts w:cs="Arial"/>
          <w:b/>
        </w:rPr>
      </w:pPr>
    </w:p>
    <w:p w14:paraId="44AF47A4" w14:textId="57BC6D95" w:rsidR="00267BA3" w:rsidRPr="003B4909" w:rsidRDefault="000B3BD2" w:rsidP="00A36464">
      <w:pPr>
        <w:pStyle w:val="Listpara2"/>
        <w:numPr>
          <w:ilvl w:val="2"/>
          <w:numId w:val="19"/>
        </w:numPr>
      </w:pPr>
      <w:r w:rsidRPr="003B4909">
        <w:t xml:space="preserve">As a public body </w:t>
      </w:r>
      <w:r w:rsidR="00BE6679" w:rsidRPr="003B4909">
        <w:t xml:space="preserve">the </w:t>
      </w:r>
      <w:r w:rsidR="004B5020">
        <w:t>practice</w:t>
      </w:r>
      <w:r w:rsidR="005A6E1F">
        <w:t xml:space="preserve"> </w:t>
      </w:r>
      <w:r w:rsidR="00BE6679" w:rsidRPr="003B4909">
        <w:t>has</w:t>
      </w:r>
      <w:r w:rsidRPr="003B4909">
        <w:t xml:space="preserve"> a statutory duty to comply with the Freedom of Information Act and, </w:t>
      </w:r>
      <w:r w:rsidR="009A6FBE" w:rsidRPr="003B4909">
        <w:t xml:space="preserve">when </w:t>
      </w:r>
      <w:r w:rsidRPr="003B4909">
        <w:t>respon</w:t>
      </w:r>
      <w:r w:rsidR="009A6FBE" w:rsidRPr="003B4909">
        <w:t>ding</w:t>
      </w:r>
      <w:r w:rsidRPr="003B4909">
        <w:t xml:space="preserve"> to a request, provide any information that </w:t>
      </w:r>
      <w:r w:rsidR="00BE6679" w:rsidRPr="003B4909">
        <w:t>is held</w:t>
      </w:r>
      <w:r w:rsidRPr="003B4909">
        <w:t xml:space="preserve"> subject to any exemptions that may apply. </w:t>
      </w:r>
    </w:p>
    <w:p w14:paraId="135C3F17" w14:textId="77777777" w:rsidR="000B3BD2" w:rsidRPr="003B4909" w:rsidRDefault="000B3BD2" w:rsidP="00AC4C5B">
      <w:pPr>
        <w:rPr>
          <w:rFonts w:cs="Arial"/>
        </w:rPr>
      </w:pPr>
    </w:p>
    <w:p w14:paraId="54ED0708" w14:textId="7839B5A6" w:rsidR="000B3BD2" w:rsidRPr="003B4909" w:rsidRDefault="000B3BD2" w:rsidP="00A36464">
      <w:pPr>
        <w:pStyle w:val="Listpara2"/>
      </w:pPr>
      <w:r w:rsidRPr="003B4909">
        <w:lastRenderedPageBreak/>
        <w:t xml:space="preserve">If </w:t>
      </w:r>
      <w:r w:rsidR="00D54884" w:rsidRPr="003B4909">
        <w:t>a contentious or novel request</w:t>
      </w:r>
      <w:r w:rsidR="00BE6679" w:rsidRPr="003B4909">
        <w:t xml:space="preserve">, which may be the subject of media interest, </w:t>
      </w:r>
      <w:r w:rsidR="00D54884" w:rsidRPr="003B4909">
        <w:t>is received</w:t>
      </w:r>
      <w:r w:rsidRPr="003B4909">
        <w:t xml:space="preserve"> </w:t>
      </w:r>
      <w:r w:rsidR="00D54884" w:rsidRPr="003B4909">
        <w:t>it should be referred</w:t>
      </w:r>
      <w:r w:rsidRPr="003B4909">
        <w:t xml:space="preserve"> immediately to </w:t>
      </w:r>
      <w:r w:rsidR="005A6E1F">
        <w:t xml:space="preserve">the </w:t>
      </w:r>
      <w:r w:rsidR="00402D1F">
        <w:t>DPO</w:t>
      </w:r>
      <w:r w:rsidR="005A6E1F">
        <w:t xml:space="preserve"> </w:t>
      </w:r>
      <w:r w:rsidR="00D54884" w:rsidRPr="003B4909">
        <w:t>so that they are aware</w:t>
      </w:r>
      <w:r w:rsidRPr="003B4909">
        <w:t>. The responsibility for dealing with the request re</w:t>
      </w:r>
      <w:r w:rsidR="00BE6679" w:rsidRPr="003B4909">
        <w:t>mains</w:t>
      </w:r>
      <w:r w:rsidRPr="003B4909">
        <w:t xml:space="preserve"> with the </w:t>
      </w:r>
      <w:r w:rsidR="00F0398D">
        <w:t>practice</w:t>
      </w:r>
      <w:r w:rsidRPr="003B4909">
        <w:t>.</w:t>
      </w:r>
      <w:r w:rsidR="00402D1F">
        <w:t xml:space="preserve"> The DPO will engage the </w:t>
      </w:r>
      <w:r w:rsidR="00F0398D">
        <w:t>PCN/CCG/ICS as required.</w:t>
      </w:r>
    </w:p>
    <w:p w14:paraId="2433A828" w14:textId="77777777" w:rsidR="00FF0DF4" w:rsidRPr="003B4909" w:rsidRDefault="00FF0DF4" w:rsidP="00AC4C5B">
      <w:pPr>
        <w:rPr>
          <w:rFonts w:cs="Arial"/>
        </w:rPr>
      </w:pPr>
    </w:p>
    <w:p w14:paraId="327206BD" w14:textId="759D1FDD" w:rsidR="00FF0DF4" w:rsidRPr="003B4909" w:rsidRDefault="00FF0DF4" w:rsidP="00A36464">
      <w:pPr>
        <w:pStyle w:val="Listpara2"/>
      </w:pPr>
      <w:r w:rsidRPr="003B4909">
        <w:t xml:space="preserve">To assist in determining what should be referred to the </w:t>
      </w:r>
      <w:r w:rsidR="002D5DA8">
        <w:t>DPO</w:t>
      </w:r>
      <w:r w:rsidRPr="003B4909">
        <w:t xml:space="preserve"> please see </w:t>
      </w:r>
      <w:r w:rsidR="00E01FFD" w:rsidRPr="003B4909">
        <w:rPr>
          <w:b/>
        </w:rPr>
        <w:t>A</w:t>
      </w:r>
      <w:r w:rsidR="00E01FFD">
        <w:rPr>
          <w:b/>
        </w:rPr>
        <w:t>ppendix</w:t>
      </w:r>
      <w:r w:rsidR="00E01FFD" w:rsidRPr="003B4909">
        <w:rPr>
          <w:b/>
        </w:rPr>
        <w:t xml:space="preserve"> </w:t>
      </w:r>
      <w:r w:rsidR="00B80725" w:rsidRPr="003B4909">
        <w:rPr>
          <w:b/>
        </w:rPr>
        <w:t>1</w:t>
      </w:r>
      <w:r w:rsidR="00B80725" w:rsidRPr="003B4909">
        <w:t xml:space="preserve"> </w:t>
      </w:r>
      <w:r w:rsidRPr="003B4909">
        <w:t>for guidance. If in doubt</w:t>
      </w:r>
      <w:r w:rsidR="00D54884" w:rsidRPr="003B4909">
        <w:t xml:space="preserve"> about </w:t>
      </w:r>
      <w:r w:rsidR="009C1F6E" w:rsidRPr="003B4909">
        <w:t>referring,</w:t>
      </w:r>
      <w:r w:rsidRPr="003B4909">
        <w:t xml:space="preserve"> please seek </w:t>
      </w:r>
      <w:r w:rsidR="00D54884" w:rsidRPr="003B4909">
        <w:t xml:space="preserve">the </w:t>
      </w:r>
      <w:r w:rsidRPr="003B4909">
        <w:t xml:space="preserve">advice from the </w:t>
      </w:r>
      <w:r w:rsidR="002D5DA8">
        <w:t>Practice</w:t>
      </w:r>
      <w:r w:rsidR="005A6E1F">
        <w:t xml:space="preserve"> Manager</w:t>
      </w:r>
      <w:r w:rsidRPr="003B4909">
        <w:t xml:space="preserve">. </w:t>
      </w:r>
    </w:p>
    <w:p w14:paraId="5B794871" w14:textId="77777777" w:rsidR="00FF0DF4" w:rsidRPr="003B4909" w:rsidRDefault="00FF0DF4" w:rsidP="00AC4C5B">
      <w:pPr>
        <w:rPr>
          <w:rFonts w:cs="Arial"/>
        </w:rPr>
      </w:pPr>
    </w:p>
    <w:p w14:paraId="56DCF157" w14:textId="270C0E76" w:rsidR="00FF0DF4" w:rsidRPr="003B4909" w:rsidRDefault="00FF0DF4" w:rsidP="00A36464">
      <w:pPr>
        <w:pStyle w:val="Listpara2"/>
      </w:pPr>
      <w:r w:rsidRPr="003B4909">
        <w:t>If a request subsequently undergoes an appeal</w:t>
      </w:r>
      <w:r w:rsidR="009A6FBE" w:rsidRPr="003B4909">
        <w:t>,</w:t>
      </w:r>
      <w:r w:rsidRPr="003B4909">
        <w:t xml:space="preserve"> the </w:t>
      </w:r>
      <w:r w:rsidR="002D5DA8">
        <w:t>Practice</w:t>
      </w:r>
      <w:r w:rsidR="005A6E1F">
        <w:t xml:space="preserve"> Manager </w:t>
      </w:r>
      <w:r w:rsidRPr="003B4909">
        <w:t xml:space="preserve">should be notified and have sight of the appeal response before despatch to the </w:t>
      </w:r>
      <w:r w:rsidR="00D54884" w:rsidRPr="003B4909">
        <w:t>applicant for comment.</w:t>
      </w:r>
    </w:p>
    <w:p w14:paraId="75236BB9" w14:textId="77777777" w:rsidR="00FF0DF4" w:rsidRPr="003B4909" w:rsidRDefault="00FF0DF4" w:rsidP="00AC4C5B">
      <w:pPr>
        <w:rPr>
          <w:rFonts w:cs="Arial"/>
        </w:rPr>
      </w:pPr>
    </w:p>
    <w:p w14:paraId="6AE87F3B" w14:textId="7C4B0DCC" w:rsidR="00FF0DF4" w:rsidRPr="003B4909" w:rsidRDefault="00F3773D" w:rsidP="00A36464">
      <w:pPr>
        <w:pStyle w:val="Listpara2"/>
      </w:pPr>
      <w:r w:rsidRPr="003B4909">
        <w:t xml:space="preserve">When referring a draft response to the </w:t>
      </w:r>
      <w:r w:rsidR="002D5DA8">
        <w:t>Practice</w:t>
      </w:r>
      <w:r w:rsidR="005A6E1F">
        <w:t xml:space="preserve"> Manager </w:t>
      </w:r>
      <w:r w:rsidRPr="003B4909">
        <w:t xml:space="preserve">please allow up to </w:t>
      </w:r>
      <w:r w:rsidRPr="003B4909">
        <w:rPr>
          <w:b/>
        </w:rPr>
        <w:t>2 working days</w:t>
      </w:r>
      <w:r w:rsidRPr="003B4909">
        <w:t xml:space="preserve"> turnaround</w:t>
      </w:r>
      <w:r w:rsidR="00D54884" w:rsidRPr="003B4909">
        <w:t xml:space="preserve"> time</w:t>
      </w:r>
      <w:r w:rsidRPr="003B4909">
        <w:t>. This will need to be taken into acco</w:t>
      </w:r>
      <w:r w:rsidR="009C1F6E">
        <w:t>unt in meeting the statutory 20 d</w:t>
      </w:r>
      <w:r w:rsidRPr="003B4909">
        <w:t>ay limit.</w:t>
      </w:r>
    </w:p>
    <w:p w14:paraId="7465F158" w14:textId="77777777" w:rsidR="000B3BD2" w:rsidRPr="003B4909" w:rsidRDefault="000B3BD2" w:rsidP="00AC4C5B">
      <w:pPr>
        <w:rPr>
          <w:rFonts w:cs="Arial"/>
        </w:rPr>
      </w:pPr>
    </w:p>
    <w:p w14:paraId="05E8A100" w14:textId="77777777" w:rsidR="00AC4C5B" w:rsidRPr="003B4909" w:rsidRDefault="00AC4C5B" w:rsidP="00F00FEF">
      <w:pPr>
        <w:rPr>
          <w:rFonts w:cs="Arial"/>
        </w:rPr>
      </w:pPr>
    </w:p>
    <w:p w14:paraId="4875435C" w14:textId="07AB9FAF" w:rsidR="00441C2F" w:rsidRPr="00A36464" w:rsidRDefault="00441C2F" w:rsidP="00A36464">
      <w:pPr>
        <w:pStyle w:val="ListParagraph"/>
        <w:rPr>
          <w:b/>
        </w:rPr>
      </w:pPr>
      <w:r w:rsidRPr="00A36464">
        <w:rPr>
          <w:b/>
        </w:rPr>
        <w:t xml:space="preserve">Information </w:t>
      </w:r>
      <w:r w:rsidR="003B2A26" w:rsidRPr="00A36464">
        <w:rPr>
          <w:b/>
        </w:rPr>
        <w:t>r</w:t>
      </w:r>
      <w:r w:rsidRPr="00A36464">
        <w:rPr>
          <w:b/>
        </w:rPr>
        <w:t xml:space="preserve">equired </w:t>
      </w:r>
      <w:r w:rsidR="003B2A26" w:rsidRPr="00A36464">
        <w:rPr>
          <w:b/>
        </w:rPr>
        <w:t>from</w:t>
      </w:r>
      <w:r w:rsidRPr="00A36464">
        <w:rPr>
          <w:b/>
        </w:rPr>
        <w:t xml:space="preserve"> the Applicant</w:t>
      </w:r>
    </w:p>
    <w:p w14:paraId="55A5E967" w14:textId="5CA3900D" w:rsidR="007F3C33" w:rsidRPr="003B4909" w:rsidRDefault="007F3C33" w:rsidP="00A36464">
      <w:pPr>
        <w:pStyle w:val="Listpara2"/>
        <w:numPr>
          <w:ilvl w:val="2"/>
          <w:numId w:val="22"/>
        </w:numPr>
      </w:pPr>
      <w:r w:rsidRPr="003B4909">
        <w:t xml:space="preserve">Information requests are </w:t>
      </w:r>
      <w:r w:rsidRPr="00A36464">
        <w:rPr>
          <w:i/>
        </w:rPr>
        <w:t>motive blind</w:t>
      </w:r>
      <w:r w:rsidRPr="003B4909">
        <w:t xml:space="preserve">, meaning that </w:t>
      </w:r>
      <w:r w:rsidR="00D54884" w:rsidRPr="003B4909">
        <w:t>the requestor should not be challenged as to the</w:t>
      </w:r>
      <w:r w:rsidRPr="003B4909">
        <w:t xml:space="preserve"> reason</w:t>
      </w:r>
      <w:r w:rsidR="00D54884" w:rsidRPr="003B4909">
        <w:t xml:space="preserve"> for</w:t>
      </w:r>
      <w:r w:rsidRPr="003B4909">
        <w:t xml:space="preserve"> why the information is being asked. The only relevant factors are whether we hold information and whether circumstances exist why the information may not be disclosed </w:t>
      </w:r>
      <w:r w:rsidR="00267BA3" w:rsidRPr="003B4909">
        <w:t>(i</w:t>
      </w:r>
      <w:r w:rsidR="00A370CF">
        <w:t>.</w:t>
      </w:r>
      <w:r w:rsidR="00267BA3" w:rsidRPr="003B4909">
        <w:t>e</w:t>
      </w:r>
      <w:r w:rsidR="00A370CF">
        <w:t>.</w:t>
      </w:r>
      <w:r w:rsidR="00267BA3" w:rsidRPr="003B4909">
        <w:t xml:space="preserve"> </w:t>
      </w:r>
      <w:r w:rsidRPr="003B4909">
        <w:t>a statutory exemption</w:t>
      </w:r>
      <w:r w:rsidR="00267BA3" w:rsidRPr="003B4909">
        <w:t xml:space="preserve"> is engaged)</w:t>
      </w:r>
      <w:r w:rsidRPr="003B4909">
        <w:t>.</w:t>
      </w:r>
    </w:p>
    <w:p w14:paraId="58F7EB1C" w14:textId="77777777" w:rsidR="007F3C33" w:rsidRPr="003B4909" w:rsidRDefault="007F3C33" w:rsidP="00F00FEF">
      <w:pPr>
        <w:rPr>
          <w:rFonts w:cs="Arial"/>
        </w:rPr>
      </w:pPr>
      <w:r w:rsidRPr="003B4909">
        <w:rPr>
          <w:rFonts w:cs="Arial"/>
        </w:rPr>
        <w:t xml:space="preserve"> </w:t>
      </w:r>
    </w:p>
    <w:p w14:paraId="3A037115" w14:textId="1471A0BD" w:rsidR="00441C2F" w:rsidRPr="003B4909" w:rsidRDefault="00441C2F" w:rsidP="00A36464">
      <w:pPr>
        <w:pStyle w:val="Listpara2"/>
      </w:pPr>
      <w:r w:rsidRPr="003B4909">
        <w:t xml:space="preserve">The </w:t>
      </w:r>
      <w:r w:rsidR="0088003D">
        <w:t>practice</w:t>
      </w:r>
      <w:r w:rsidR="005A6E1F">
        <w:t xml:space="preserve"> </w:t>
      </w:r>
      <w:r w:rsidRPr="003B4909">
        <w:t>is only obliged to comply with a request if an applicant</w:t>
      </w:r>
      <w:r w:rsidR="007F3C33" w:rsidRPr="003B4909">
        <w:t xml:space="preserve"> makes a request in writing</w:t>
      </w:r>
      <w:r w:rsidR="00E25CB7" w:rsidRPr="003B4909">
        <w:t xml:space="preserve"> </w:t>
      </w:r>
      <w:r w:rsidR="00E25CB7" w:rsidRPr="00083D77">
        <w:t xml:space="preserve">(although request for environmental information </w:t>
      </w:r>
      <w:r w:rsidR="00D54884" w:rsidRPr="0016168C">
        <w:t xml:space="preserve">under EIR </w:t>
      </w:r>
      <w:r w:rsidR="00E25CB7" w:rsidRPr="0016168C">
        <w:t>can be made verbally)</w:t>
      </w:r>
      <w:r w:rsidR="007F3C33" w:rsidRPr="00F93B96">
        <w:t xml:space="preserve"> </w:t>
      </w:r>
      <w:r w:rsidR="007F3C33" w:rsidRPr="003B4909">
        <w:t>and</w:t>
      </w:r>
      <w:r w:rsidRPr="003B4909">
        <w:t xml:space="preserve"> provides the following:</w:t>
      </w:r>
    </w:p>
    <w:p w14:paraId="3115F94A" w14:textId="77777777" w:rsidR="00441C2F" w:rsidRPr="003B4909" w:rsidRDefault="00441C2F" w:rsidP="00F00FEF">
      <w:pPr>
        <w:rPr>
          <w:rFonts w:cs="Arial"/>
        </w:rPr>
      </w:pPr>
    </w:p>
    <w:p w14:paraId="33094A60" w14:textId="21A98A0F" w:rsidR="00441C2F" w:rsidRPr="003B4909" w:rsidRDefault="007F3C33" w:rsidP="007F3C33">
      <w:pPr>
        <w:numPr>
          <w:ilvl w:val="0"/>
          <w:numId w:val="2"/>
        </w:numPr>
        <w:rPr>
          <w:rFonts w:cs="Arial"/>
        </w:rPr>
      </w:pPr>
      <w:r w:rsidRPr="003B4909">
        <w:rPr>
          <w:rFonts w:cs="Arial"/>
        </w:rPr>
        <w:t xml:space="preserve">A </w:t>
      </w:r>
      <w:r w:rsidRPr="003B4909">
        <w:rPr>
          <w:rFonts w:cs="Arial"/>
          <w:b/>
        </w:rPr>
        <w:t>description of the information</w:t>
      </w:r>
      <w:r w:rsidRPr="003B4909">
        <w:rPr>
          <w:rFonts w:cs="Arial"/>
        </w:rPr>
        <w:t xml:space="preserve"> so that it can be located. If there is any doubt about what information is being requested the applicant should be asked to clarify their request</w:t>
      </w:r>
      <w:r w:rsidR="00562352" w:rsidRPr="003B4909">
        <w:rPr>
          <w:rFonts w:cs="Arial"/>
        </w:rPr>
        <w:t xml:space="preserve"> as soon as possible</w:t>
      </w:r>
      <w:r w:rsidRPr="003B4909">
        <w:rPr>
          <w:rFonts w:cs="Arial"/>
        </w:rPr>
        <w:t xml:space="preserve">. </w:t>
      </w:r>
      <w:r w:rsidR="002D5DA8">
        <w:rPr>
          <w:rFonts w:cs="Arial"/>
        </w:rPr>
        <w:t>Practice</w:t>
      </w:r>
      <w:r w:rsidR="00083D77">
        <w:rPr>
          <w:rFonts w:cs="Arial"/>
        </w:rPr>
        <w:t xml:space="preserve"> Manager </w:t>
      </w:r>
      <w:r w:rsidRPr="003B4909">
        <w:rPr>
          <w:rFonts w:cs="Arial"/>
        </w:rPr>
        <w:t>should not presume or anticipate what the applicant is requesting.</w:t>
      </w:r>
    </w:p>
    <w:p w14:paraId="06770B16" w14:textId="77777777" w:rsidR="007F3C33" w:rsidRPr="003B4909" w:rsidRDefault="007F3C33" w:rsidP="007F3C33">
      <w:pPr>
        <w:ind w:left="360"/>
        <w:rPr>
          <w:rFonts w:cs="Arial"/>
        </w:rPr>
      </w:pPr>
    </w:p>
    <w:p w14:paraId="1FF1060A" w14:textId="77777777" w:rsidR="007F3C33" w:rsidRPr="003B4909" w:rsidRDefault="007F3C33" w:rsidP="007F3C33">
      <w:pPr>
        <w:numPr>
          <w:ilvl w:val="0"/>
          <w:numId w:val="2"/>
        </w:numPr>
        <w:rPr>
          <w:rFonts w:cs="Arial"/>
        </w:rPr>
      </w:pPr>
      <w:r w:rsidRPr="003B4909">
        <w:rPr>
          <w:rFonts w:cs="Arial"/>
        </w:rPr>
        <w:t xml:space="preserve">A means by which a response can be </w:t>
      </w:r>
      <w:r w:rsidR="00D54884" w:rsidRPr="003B4909">
        <w:rPr>
          <w:rFonts w:cs="Arial"/>
        </w:rPr>
        <w:t>communicated to the requestor</w:t>
      </w:r>
      <w:r w:rsidRPr="003B4909">
        <w:rPr>
          <w:rFonts w:cs="Arial"/>
        </w:rPr>
        <w:t xml:space="preserve"> such as a </w:t>
      </w:r>
      <w:r w:rsidRPr="003B4909">
        <w:rPr>
          <w:rFonts w:cs="Arial"/>
          <w:b/>
        </w:rPr>
        <w:t>postal or email address.</w:t>
      </w:r>
    </w:p>
    <w:p w14:paraId="7C816633" w14:textId="77777777" w:rsidR="00E25CB7" w:rsidRPr="003B4909" w:rsidRDefault="00E25CB7" w:rsidP="00E25CB7">
      <w:pPr>
        <w:rPr>
          <w:rFonts w:cs="Arial"/>
        </w:rPr>
      </w:pPr>
    </w:p>
    <w:p w14:paraId="0B3AB80E" w14:textId="5B66029F" w:rsidR="00E25CB7" w:rsidRPr="003B4909" w:rsidRDefault="00E25CB7" w:rsidP="007F3C33">
      <w:pPr>
        <w:numPr>
          <w:ilvl w:val="0"/>
          <w:numId w:val="2"/>
        </w:numPr>
        <w:rPr>
          <w:rFonts w:cs="Arial"/>
        </w:rPr>
      </w:pPr>
      <w:r w:rsidRPr="003B4909">
        <w:rPr>
          <w:rFonts w:cs="Arial"/>
        </w:rPr>
        <w:t xml:space="preserve">The </w:t>
      </w:r>
      <w:r w:rsidRPr="003B4909">
        <w:rPr>
          <w:rFonts w:cs="Arial"/>
          <w:b/>
        </w:rPr>
        <w:t>applicant</w:t>
      </w:r>
      <w:r w:rsidR="007C1993">
        <w:rPr>
          <w:rFonts w:cs="Arial"/>
          <w:b/>
        </w:rPr>
        <w:t>’</w:t>
      </w:r>
      <w:r w:rsidRPr="003B4909">
        <w:rPr>
          <w:rFonts w:cs="Arial"/>
          <w:b/>
        </w:rPr>
        <w:t>s name</w:t>
      </w:r>
      <w:r w:rsidRPr="003B4909">
        <w:rPr>
          <w:rFonts w:cs="Arial"/>
        </w:rPr>
        <w:t>. If the applicant only provides the name of an organisation this is also acceptable. There are occasions where applicants may use fictitious or assumed names. If</w:t>
      </w:r>
      <w:r w:rsidR="00D54884" w:rsidRPr="003B4909">
        <w:rPr>
          <w:rFonts w:cs="Arial"/>
        </w:rPr>
        <w:t xml:space="preserve"> it is</w:t>
      </w:r>
      <w:r w:rsidRPr="003B4909">
        <w:rPr>
          <w:rFonts w:cs="Arial"/>
        </w:rPr>
        <w:t xml:space="preserve"> suspect</w:t>
      </w:r>
      <w:r w:rsidR="00D54884" w:rsidRPr="003B4909">
        <w:rPr>
          <w:rFonts w:cs="Arial"/>
        </w:rPr>
        <w:t>ed</w:t>
      </w:r>
      <w:r w:rsidRPr="003B4909">
        <w:rPr>
          <w:rFonts w:cs="Arial"/>
        </w:rPr>
        <w:t xml:space="preserve"> that   this is the case </w:t>
      </w:r>
      <w:r w:rsidR="00D54884" w:rsidRPr="003B4909">
        <w:rPr>
          <w:rFonts w:cs="Arial"/>
        </w:rPr>
        <w:t>officers</w:t>
      </w:r>
      <w:r w:rsidRPr="003B4909">
        <w:rPr>
          <w:rFonts w:cs="Arial"/>
        </w:rPr>
        <w:t xml:space="preserve"> should use </w:t>
      </w:r>
      <w:r w:rsidR="00D54884" w:rsidRPr="003B4909">
        <w:rPr>
          <w:rFonts w:cs="Arial"/>
        </w:rPr>
        <w:t>their</w:t>
      </w:r>
      <w:r w:rsidRPr="003B4909">
        <w:rPr>
          <w:rFonts w:cs="Arial"/>
        </w:rPr>
        <w:t xml:space="preserve"> discretion. The real name of an applicant is only</w:t>
      </w:r>
      <w:r w:rsidR="00562352" w:rsidRPr="003B4909">
        <w:rPr>
          <w:rFonts w:cs="Arial"/>
        </w:rPr>
        <w:t xml:space="preserve"> usually</w:t>
      </w:r>
      <w:r w:rsidR="00D54884" w:rsidRPr="003B4909">
        <w:rPr>
          <w:rFonts w:cs="Arial"/>
        </w:rPr>
        <w:t xml:space="preserve"> </w:t>
      </w:r>
      <w:r w:rsidRPr="003B4909">
        <w:rPr>
          <w:rFonts w:cs="Arial"/>
        </w:rPr>
        <w:t xml:space="preserve">relevant if for instance personal information is being sought and </w:t>
      </w:r>
      <w:r w:rsidR="00D54884" w:rsidRPr="003B4909">
        <w:rPr>
          <w:rFonts w:cs="Arial"/>
        </w:rPr>
        <w:t xml:space="preserve">the </w:t>
      </w:r>
      <w:r w:rsidRPr="003B4909">
        <w:rPr>
          <w:rFonts w:cs="Arial"/>
        </w:rPr>
        <w:t xml:space="preserve">identity of the requestor </w:t>
      </w:r>
      <w:r w:rsidR="00D54884" w:rsidRPr="003B4909">
        <w:rPr>
          <w:rFonts w:cs="Arial"/>
        </w:rPr>
        <w:t xml:space="preserve">is necessary </w:t>
      </w:r>
      <w:r w:rsidRPr="003B4909">
        <w:rPr>
          <w:rFonts w:cs="Arial"/>
        </w:rPr>
        <w:t xml:space="preserve">to ascertain whether they are the data subject or a third party.  </w:t>
      </w:r>
      <w:r w:rsidR="00D54884" w:rsidRPr="003B4909">
        <w:rPr>
          <w:rFonts w:cs="Arial"/>
        </w:rPr>
        <w:t xml:space="preserve">The </w:t>
      </w:r>
      <w:r w:rsidR="00E0254B" w:rsidRPr="003B4909">
        <w:rPr>
          <w:rFonts w:cs="Arial"/>
        </w:rPr>
        <w:t>true</w:t>
      </w:r>
      <w:r w:rsidRPr="003B4909">
        <w:rPr>
          <w:rFonts w:cs="Arial"/>
        </w:rPr>
        <w:t xml:space="preserve"> identi</w:t>
      </w:r>
      <w:r w:rsidR="00E0254B" w:rsidRPr="003B4909">
        <w:rPr>
          <w:rFonts w:cs="Arial"/>
        </w:rPr>
        <w:t>t</w:t>
      </w:r>
      <w:r w:rsidRPr="003B4909">
        <w:rPr>
          <w:rFonts w:cs="Arial"/>
        </w:rPr>
        <w:t>y</w:t>
      </w:r>
      <w:r w:rsidR="00E0254B" w:rsidRPr="003B4909">
        <w:rPr>
          <w:rFonts w:cs="Arial"/>
        </w:rPr>
        <w:t xml:space="preserve"> of</w:t>
      </w:r>
      <w:r w:rsidRPr="003B4909">
        <w:rPr>
          <w:rFonts w:cs="Arial"/>
        </w:rPr>
        <w:t xml:space="preserve"> an individual i</w:t>
      </w:r>
      <w:r w:rsidR="00E0254B" w:rsidRPr="003B4909">
        <w:rPr>
          <w:rFonts w:cs="Arial"/>
        </w:rPr>
        <w:t xml:space="preserve">s </w:t>
      </w:r>
      <w:r w:rsidR="00562352" w:rsidRPr="003B4909">
        <w:rPr>
          <w:rFonts w:cs="Arial"/>
        </w:rPr>
        <w:t xml:space="preserve">also </w:t>
      </w:r>
      <w:r w:rsidR="00E0254B" w:rsidRPr="003B4909">
        <w:rPr>
          <w:rFonts w:cs="Arial"/>
        </w:rPr>
        <w:t>necessary if</w:t>
      </w:r>
      <w:r w:rsidRPr="003B4909">
        <w:rPr>
          <w:rFonts w:cs="Arial"/>
        </w:rPr>
        <w:t xml:space="preserve"> the</w:t>
      </w:r>
      <w:r w:rsidR="00E0254B" w:rsidRPr="003B4909">
        <w:rPr>
          <w:rFonts w:cs="Arial"/>
        </w:rPr>
        <w:t xml:space="preserve"> applicant is</w:t>
      </w:r>
      <w:r w:rsidRPr="003B4909">
        <w:rPr>
          <w:rFonts w:cs="Arial"/>
        </w:rPr>
        <w:t xml:space="preserve"> using </w:t>
      </w:r>
      <w:r w:rsidR="00267BA3" w:rsidRPr="003B4909">
        <w:rPr>
          <w:rFonts w:cs="Arial"/>
        </w:rPr>
        <w:t>a</w:t>
      </w:r>
      <w:r w:rsidRPr="003B4909">
        <w:rPr>
          <w:rFonts w:cs="Arial"/>
        </w:rPr>
        <w:t xml:space="preserve"> pseudonym</w:t>
      </w:r>
      <w:r w:rsidR="00267BA3" w:rsidRPr="003B4909">
        <w:rPr>
          <w:rFonts w:cs="Arial"/>
        </w:rPr>
        <w:t xml:space="preserve"> to</w:t>
      </w:r>
      <w:r w:rsidRPr="003B4909">
        <w:rPr>
          <w:rFonts w:cs="Arial"/>
        </w:rPr>
        <w:t xml:space="preserve"> </w:t>
      </w:r>
      <w:r w:rsidRPr="003B4909">
        <w:rPr>
          <w:rFonts w:cs="Arial"/>
        </w:rPr>
        <w:lastRenderedPageBreak/>
        <w:t>either</w:t>
      </w:r>
      <w:r w:rsidR="00267BA3" w:rsidRPr="003B4909">
        <w:rPr>
          <w:rFonts w:cs="Arial"/>
        </w:rPr>
        <w:t xml:space="preserve"> </w:t>
      </w:r>
      <w:r w:rsidRPr="003B4909">
        <w:rPr>
          <w:rFonts w:cs="Arial"/>
        </w:rPr>
        <w:t xml:space="preserve">circumvent the </w:t>
      </w:r>
      <w:r w:rsidRPr="003B4909">
        <w:rPr>
          <w:rFonts w:cs="Arial"/>
          <w:i/>
        </w:rPr>
        <w:t xml:space="preserve">appropriate limit </w:t>
      </w:r>
      <w:r w:rsidRPr="003B4909">
        <w:rPr>
          <w:rFonts w:cs="Arial"/>
        </w:rPr>
        <w:t>or</w:t>
      </w:r>
      <w:r w:rsidR="00267BA3" w:rsidRPr="003B4909">
        <w:rPr>
          <w:rFonts w:cs="Arial"/>
        </w:rPr>
        <w:t xml:space="preserve"> because</w:t>
      </w:r>
      <w:r w:rsidRPr="003B4909">
        <w:rPr>
          <w:rFonts w:cs="Arial"/>
        </w:rPr>
        <w:t xml:space="preserve"> the applicant has previously been issued with a vexatious ref</w:t>
      </w:r>
      <w:r w:rsidR="00E0254B" w:rsidRPr="003B4909">
        <w:rPr>
          <w:rFonts w:cs="Arial"/>
        </w:rPr>
        <w:t xml:space="preserve">usal notice. If in doubt legal advice should be sought. </w:t>
      </w:r>
    </w:p>
    <w:p w14:paraId="66B39892" w14:textId="77777777" w:rsidR="007F3C33" w:rsidRPr="003B4909" w:rsidRDefault="007F3C33" w:rsidP="00267BA3">
      <w:pPr>
        <w:ind w:left="360"/>
        <w:rPr>
          <w:rFonts w:cs="Arial"/>
        </w:rPr>
      </w:pPr>
    </w:p>
    <w:p w14:paraId="12F10EAE" w14:textId="77777777" w:rsidR="00556087" w:rsidRPr="003B4909" w:rsidRDefault="00556087" w:rsidP="00F00FEF">
      <w:pPr>
        <w:rPr>
          <w:rFonts w:cs="Arial"/>
        </w:rPr>
      </w:pPr>
    </w:p>
    <w:p w14:paraId="44CCE36E" w14:textId="635EDDC4" w:rsidR="00556087" w:rsidRPr="00A36464" w:rsidRDefault="00556087" w:rsidP="00A36464">
      <w:pPr>
        <w:pStyle w:val="ListParagraph"/>
        <w:rPr>
          <w:b/>
        </w:rPr>
      </w:pPr>
      <w:r w:rsidRPr="00A36464">
        <w:rPr>
          <w:b/>
        </w:rPr>
        <w:t>Appropriate Limit</w:t>
      </w:r>
    </w:p>
    <w:p w14:paraId="033DD1F9" w14:textId="397D97C2" w:rsidR="00DE78E0" w:rsidRPr="003B4909" w:rsidRDefault="008B603E" w:rsidP="00A36464">
      <w:pPr>
        <w:pStyle w:val="Listpara2"/>
        <w:numPr>
          <w:ilvl w:val="2"/>
          <w:numId w:val="21"/>
        </w:numPr>
      </w:pPr>
      <w:r w:rsidRPr="003B4909">
        <w:t>Where complying with a request</w:t>
      </w:r>
      <w:r w:rsidR="00556087" w:rsidRPr="003B4909">
        <w:t xml:space="preserve"> would exceed the “appropriate limit”</w:t>
      </w:r>
      <w:r w:rsidR="00BE6679" w:rsidRPr="003B4909">
        <w:t>,</w:t>
      </w:r>
      <w:r w:rsidR="00E0254B" w:rsidRPr="003B4909">
        <w:t xml:space="preserve"> which</w:t>
      </w:r>
      <w:r w:rsidR="00556087" w:rsidRPr="003B4909">
        <w:t xml:space="preserve"> </w:t>
      </w:r>
      <w:r w:rsidR="00E0254B" w:rsidRPr="003B4909">
        <w:t xml:space="preserve">is </w:t>
      </w:r>
      <w:r w:rsidRPr="003B4909">
        <w:t>set at</w:t>
      </w:r>
      <w:r w:rsidR="00556087" w:rsidRPr="003B4909">
        <w:t xml:space="preserve"> £450</w:t>
      </w:r>
      <w:r w:rsidRPr="003B4909">
        <w:t xml:space="preserve"> (or</w:t>
      </w:r>
      <w:r w:rsidR="00BE6679" w:rsidRPr="003B4909">
        <w:t xml:space="preserve"> 18 hours) </w:t>
      </w:r>
      <w:r w:rsidR="00F93B96">
        <w:t xml:space="preserve">The </w:t>
      </w:r>
      <w:r w:rsidR="002D5DA8">
        <w:t>Practice</w:t>
      </w:r>
      <w:r w:rsidR="00F93B96">
        <w:t xml:space="preserve"> Manager </w:t>
      </w:r>
      <w:r w:rsidRPr="003B4909">
        <w:t xml:space="preserve">should advise the applicant that the cost limit applies and </w:t>
      </w:r>
      <w:r w:rsidR="00CA19BB" w:rsidRPr="003B4909">
        <w:t xml:space="preserve">provide guidance to the applicant on </w:t>
      </w:r>
      <w:r w:rsidR="00562352" w:rsidRPr="003B4909">
        <w:t>modifying</w:t>
      </w:r>
      <w:r w:rsidR="00CA19BB" w:rsidRPr="003B4909">
        <w:t xml:space="preserve"> the request so that the request can be dealt with within the limit.</w:t>
      </w:r>
      <w:r w:rsidRPr="003B4909">
        <w:t xml:space="preserve"> </w:t>
      </w:r>
    </w:p>
    <w:p w14:paraId="75ACFD38" w14:textId="77777777" w:rsidR="00CA19BB" w:rsidRPr="003B4909" w:rsidRDefault="00CA19BB" w:rsidP="00F00FEF">
      <w:pPr>
        <w:rPr>
          <w:rFonts w:cs="Arial"/>
        </w:rPr>
      </w:pPr>
    </w:p>
    <w:p w14:paraId="087B3D4B" w14:textId="5CDD009C" w:rsidR="00DE78E0" w:rsidRPr="003B4909" w:rsidRDefault="008D4C4C" w:rsidP="00A36464">
      <w:pPr>
        <w:pStyle w:val="Listpara2"/>
      </w:pPr>
      <w:r w:rsidRPr="003B4909">
        <w:t>I</w:t>
      </w:r>
      <w:r w:rsidR="00DE78E0" w:rsidRPr="003B4909">
        <w:t xml:space="preserve">f </w:t>
      </w:r>
      <w:r w:rsidR="00F93B96">
        <w:t xml:space="preserve"> </w:t>
      </w:r>
      <w:r w:rsidR="003F0D50">
        <w:t xml:space="preserve">the </w:t>
      </w:r>
      <w:r w:rsidR="002D5DA8">
        <w:t>Practice</w:t>
      </w:r>
      <w:r w:rsidR="00F93B96">
        <w:t xml:space="preserve"> Manager </w:t>
      </w:r>
      <w:r w:rsidR="00DE78E0" w:rsidRPr="003B4909">
        <w:t>refus</w:t>
      </w:r>
      <w:r w:rsidR="00CA19BB" w:rsidRPr="003B4909">
        <w:t>e</w:t>
      </w:r>
      <w:r w:rsidR="00F93B96">
        <w:t>s</w:t>
      </w:r>
      <w:r w:rsidR="00CA19BB" w:rsidRPr="003B4909">
        <w:t xml:space="preserve"> to comply with the request</w:t>
      </w:r>
      <w:r w:rsidR="00DE78E0" w:rsidRPr="003B4909">
        <w:t xml:space="preserve"> (as permitted under Section 12 FOIA 2000) because </w:t>
      </w:r>
      <w:r w:rsidR="00CA19BB" w:rsidRPr="003B4909">
        <w:t>the appropriate limit will be breached,</w:t>
      </w:r>
      <w:r w:rsidR="00DE78E0" w:rsidRPr="003B4909">
        <w:t xml:space="preserve"> then </w:t>
      </w:r>
      <w:r w:rsidR="00F93B96">
        <w:t xml:space="preserve"> a</w:t>
      </w:r>
      <w:r w:rsidR="009C1F6E">
        <w:t xml:space="preserve"> </w:t>
      </w:r>
      <w:r w:rsidR="00132498" w:rsidRPr="003B4909">
        <w:t xml:space="preserve">note </w:t>
      </w:r>
      <w:r w:rsidR="00F93B96">
        <w:t xml:space="preserve">should be made </w:t>
      </w:r>
      <w:r w:rsidR="00CA19BB" w:rsidRPr="003B4909">
        <w:t>of how the estimate was arrived at.</w:t>
      </w:r>
      <w:r w:rsidR="00132498" w:rsidRPr="003B4909">
        <w:t xml:space="preserve"> This is so if the refusal is </w:t>
      </w:r>
      <w:r w:rsidR="00562352" w:rsidRPr="003B4909">
        <w:t>s</w:t>
      </w:r>
      <w:r w:rsidR="00132498" w:rsidRPr="003B4909">
        <w:t>ubsequently</w:t>
      </w:r>
      <w:r w:rsidR="00562352" w:rsidRPr="003B4909">
        <w:t xml:space="preserve"> challenged, there is</w:t>
      </w:r>
      <w:r w:rsidR="00132498" w:rsidRPr="003B4909">
        <w:t xml:space="preserve"> evidence </w:t>
      </w:r>
      <w:r w:rsidRPr="003B4909">
        <w:t>at hand than</w:t>
      </w:r>
      <w:r w:rsidR="00132498" w:rsidRPr="003B4909">
        <w:t xml:space="preserve"> an estimate was</w:t>
      </w:r>
      <w:r w:rsidRPr="003B4909">
        <w:t xml:space="preserve"> </w:t>
      </w:r>
      <w:r w:rsidR="00132498" w:rsidRPr="003B4909">
        <w:t xml:space="preserve">undertaken and shows that </w:t>
      </w:r>
      <w:r w:rsidR="00CA19BB" w:rsidRPr="003B4909">
        <w:t xml:space="preserve">compliance with </w:t>
      </w:r>
      <w:r w:rsidR="00132498" w:rsidRPr="003B4909">
        <w:t xml:space="preserve">the request would breach the limit. </w:t>
      </w:r>
    </w:p>
    <w:p w14:paraId="7AEB18AB" w14:textId="77777777" w:rsidR="00E0254B" w:rsidRPr="003B4909" w:rsidRDefault="00E0254B" w:rsidP="00F00FEF">
      <w:pPr>
        <w:rPr>
          <w:rFonts w:cs="Arial"/>
        </w:rPr>
      </w:pPr>
    </w:p>
    <w:p w14:paraId="281E61B1" w14:textId="70E9F901" w:rsidR="00E0254B" w:rsidRPr="003B4909" w:rsidRDefault="00E0254B" w:rsidP="00A36464">
      <w:pPr>
        <w:pStyle w:val="Listpara2"/>
      </w:pPr>
      <w:r w:rsidRPr="003B4909">
        <w:t xml:space="preserve">The estimate </w:t>
      </w:r>
      <w:r w:rsidR="00CA19BB" w:rsidRPr="003B4909">
        <w:t>is no</w:t>
      </w:r>
      <w:r w:rsidRPr="003B4909">
        <w:t xml:space="preserve"> more than a rough calculation of the time likely to be taken to comply with the request.</w:t>
      </w:r>
    </w:p>
    <w:p w14:paraId="309689A9" w14:textId="77777777" w:rsidR="00DE78E0" w:rsidRPr="003B4909" w:rsidRDefault="00DE78E0" w:rsidP="00F00FEF">
      <w:pPr>
        <w:rPr>
          <w:rFonts w:cs="Arial"/>
        </w:rPr>
      </w:pPr>
    </w:p>
    <w:p w14:paraId="1A2BE161" w14:textId="77777777" w:rsidR="00DE78E0" w:rsidRPr="003B4909" w:rsidRDefault="00DE78E0" w:rsidP="00DE78E0">
      <w:pPr>
        <w:pBdr>
          <w:top w:val="single" w:sz="4" w:space="1" w:color="auto"/>
          <w:left w:val="single" w:sz="4" w:space="4" w:color="auto"/>
          <w:bottom w:val="single" w:sz="4" w:space="1" w:color="auto"/>
          <w:right w:val="single" w:sz="4" w:space="4" w:color="auto"/>
        </w:pBdr>
        <w:rPr>
          <w:rFonts w:cs="Arial"/>
          <w:b/>
          <w:u w:val="single"/>
        </w:rPr>
      </w:pPr>
      <w:r w:rsidRPr="003B4909">
        <w:rPr>
          <w:rFonts w:cs="Arial"/>
          <w:b/>
          <w:u w:val="single"/>
        </w:rPr>
        <w:t>Example</w:t>
      </w:r>
    </w:p>
    <w:p w14:paraId="2071F692" w14:textId="199B5A0A" w:rsidR="00DE78E0" w:rsidRPr="003B4909" w:rsidRDefault="00E0254B" w:rsidP="00DE78E0">
      <w:pPr>
        <w:pBdr>
          <w:top w:val="single" w:sz="4" w:space="1" w:color="auto"/>
          <w:left w:val="single" w:sz="4" w:space="4" w:color="auto"/>
          <w:bottom w:val="single" w:sz="4" w:space="1" w:color="auto"/>
          <w:right w:val="single" w:sz="4" w:space="4" w:color="auto"/>
        </w:pBdr>
        <w:rPr>
          <w:rFonts w:cs="Arial"/>
        </w:rPr>
      </w:pPr>
      <w:r w:rsidRPr="003B4909">
        <w:rPr>
          <w:rFonts w:cs="Arial"/>
        </w:rPr>
        <w:t>Where t</w:t>
      </w:r>
      <w:r w:rsidR="00DE78E0" w:rsidRPr="003B4909">
        <w:rPr>
          <w:rFonts w:cs="Arial"/>
        </w:rPr>
        <w:t xml:space="preserve">o comply with a request requires one or more </w:t>
      </w:r>
      <w:r w:rsidR="0088003D">
        <w:rPr>
          <w:rFonts w:cs="Arial"/>
        </w:rPr>
        <w:t>practice</w:t>
      </w:r>
      <w:r w:rsidR="00F93B96">
        <w:rPr>
          <w:rFonts w:cs="Arial"/>
        </w:rPr>
        <w:t xml:space="preserve"> staff members </w:t>
      </w:r>
      <w:r w:rsidR="00DE78E0" w:rsidRPr="003B4909">
        <w:rPr>
          <w:rFonts w:cs="Arial"/>
        </w:rPr>
        <w:t>to search through 80 separate files or records which on average would take approximately 15 minutes to review each one</w:t>
      </w:r>
      <w:r w:rsidR="00934116" w:rsidRPr="003B4909">
        <w:rPr>
          <w:rFonts w:cs="Arial"/>
        </w:rPr>
        <w:t>.</w:t>
      </w:r>
      <w:r w:rsidR="00DE78E0" w:rsidRPr="003B4909">
        <w:rPr>
          <w:rFonts w:cs="Arial"/>
        </w:rPr>
        <w:t xml:space="preserve"> </w:t>
      </w:r>
      <w:r w:rsidR="009C1F6E" w:rsidRPr="003B4909">
        <w:rPr>
          <w:rFonts w:cs="Arial"/>
        </w:rPr>
        <w:t>Therefore,</w:t>
      </w:r>
      <w:r w:rsidR="00DE78E0" w:rsidRPr="003B4909">
        <w:rPr>
          <w:rFonts w:cs="Arial"/>
        </w:rPr>
        <w:t xml:space="preserve"> the total time required to coll</w:t>
      </w:r>
      <w:r w:rsidR="00562352" w:rsidRPr="003B4909">
        <w:rPr>
          <w:rFonts w:cs="Arial"/>
        </w:rPr>
        <w:t>ect the information would be 80</w:t>
      </w:r>
      <w:r w:rsidR="00DE78E0" w:rsidRPr="003B4909">
        <w:rPr>
          <w:rFonts w:cs="Arial"/>
        </w:rPr>
        <w:t xml:space="preserve"> x 15 = 20 hours</w:t>
      </w:r>
      <w:r w:rsidR="00132498" w:rsidRPr="003B4909">
        <w:rPr>
          <w:rFonts w:cs="Arial"/>
        </w:rPr>
        <w:t>,</w:t>
      </w:r>
      <w:r w:rsidR="00DE78E0" w:rsidRPr="003B4909">
        <w:rPr>
          <w:rFonts w:cs="Arial"/>
        </w:rPr>
        <w:t xml:space="preserve"> which exceeds the appropriate limit of 18 hours.</w:t>
      </w:r>
      <w:r w:rsidR="00BD5D4F">
        <w:rPr>
          <w:rFonts w:cs="Arial"/>
        </w:rPr>
        <w:t xml:space="preserve"> Note that the time for redaction cannot generally be taken into account.</w:t>
      </w:r>
    </w:p>
    <w:p w14:paraId="4F0CF895" w14:textId="77777777" w:rsidR="00132498" w:rsidRPr="003B4909" w:rsidRDefault="00132498" w:rsidP="00DE78E0">
      <w:pPr>
        <w:pBdr>
          <w:top w:val="single" w:sz="4" w:space="1" w:color="auto"/>
          <w:left w:val="single" w:sz="4" w:space="4" w:color="auto"/>
          <w:bottom w:val="single" w:sz="4" w:space="1" w:color="auto"/>
          <w:right w:val="single" w:sz="4" w:space="4" w:color="auto"/>
        </w:pBdr>
        <w:rPr>
          <w:rFonts w:cs="Arial"/>
        </w:rPr>
      </w:pPr>
    </w:p>
    <w:p w14:paraId="3FA95926" w14:textId="003B87D2" w:rsidR="00132498" w:rsidRPr="003B4909" w:rsidRDefault="00132498" w:rsidP="00DE78E0">
      <w:pPr>
        <w:pBdr>
          <w:top w:val="single" w:sz="4" w:space="1" w:color="auto"/>
          <w:left w:val="single" w:sz="4" w:space="4" w:color="auto"/>
          <w:bottom w:val="single" w:sz="4" w:space="1" w:color="auto"/>
          <w:right w:val="single" w:sz="4" w:space="4" w:color="auto"/>
        </w:pBdr>
        <w:rPr>
          <w:rFonts w:cs="Arial"/>
        </w:rPr>
      </w:pPr>
      <w:r w:rsidRPr="003B4909">
        <w:rPr>
          <w:rFonts w:cs="Arial"/>
        </w:rPr>
        <w:t>In this situation be</w:t>
      </w:r>
      <w:r w:rsidR="00934116" w:rsidRPr="003B4909">
        <w:rPr>
          <w:rFonts w:cs="Arial"/>
        </w:rPr>
        <w:t>fore invoking section 12 and refusing the information request</w:t>
      </w:r>
      <w:r w:rsidR="00562352" w:rsidRPr="003B4909">
        <w:rPr>
          <w:rFonts w:cs="Arial"/>
        </w:rPr>
        <w:t>,</w:t>
      </w:r>
      <w:r w:rsidR="00934116" w:rsidRPr="003B4909">
        <w:rPr>
          <w:rFonts w:cs="Arial"/>
        </w:rPr>
        <w:t xml:space="preserve"> th</w:t>
      </w:r>
      <w:r w:rsidRPr="003B4909">
        <w:rPr>
          <w:rFonts w:cs="Arial"/>
        </w:rPr>
        <w:t>e</w:t>
      </w:r>
      <w:r w:rsidR="00934116" w:rsidRPr="003B4909">
        <w:rPr>
          <w:rFonts w:cs="Arial"/>
        </w:rPr>
        <w:t xml:space="preserve"> </w:t>
      </w:r>
      <w:r w:rsidR="002D5DA8">
        <w:rPr>
          <w:rFonts w:cs="Arial"/>
        </w:rPr>
        <w:t>Practice</w:t>
      </w:r>
      <w:r w:rsidR="00F93B96">
        <w:rPr>
          <w:rFonts w:cs="Arial"/>
        </w:rPr>
        <w:t xml:space="preserve"> Manager </w:t>
      </w:r>
      <w:r w:rsidRPr="003B4909">
        <w:rPr>
          <w:rFonts w:cs="Arial"/>
        </w:rPr>
        <w:t>would be expected to</w:t>
      </w:r>
      <w:r w:rsidR="00934116" w:rsidRPr="003B4909">
        <w:rPr>
          <w:rFonts w:cs="Arial"/>
        </w:rPr>
        <w:t xml:space="preserve"> have</w:t>
      </w:r>
      <w:r w:rsidRPr="003B4909">
        <w:rPr>
          <w:rFonts w:cs="Arial"/>
        </w:rPr>
        <w:t xml:space="preserve"> first engage</w:t>
      </w:r>
      <w:r w:rsidR="00562352" w:rsidRPr="003B4909">
        <w:rPr>
          <w:rFonts w:cs="Arial"/>
        </w:rPr>
        <w:t>d</w:t>
      </w:r>
      <w:r w:rsidRPr="003B4909">
        <w:rPr>
          <w:rFonts w:cs="Arial"/>
        </w:rPr>
        <w:t xml:space="preserve"> with the applicant </w:t>
      </w:r>
      <w:r w:rsidR="00562352" w:rsidRPr="003B4909">
        <w:rPr>
          <w:rFonts w:cs="Arial"/>
        </w:rPr>
        <w:t>to explore if at least some information can be provided within the limit</w:t>
      </w:r>
      <w:r w:rsidRPr="003B4909">
        <w:rPr>
          <w:rFonts w:cs="Arial"/>
        </w:rPr>
        <w:t>.</w:t>
      </w:r>
    </w:p>
    <w:p w14:paraId="5ECDEBA8" w14:textId="77777777" w:rsidR="008B603E" w:rsidRPr="003B4909" w:rsidRDefault="008B603E" w:rsidP="00F00FEF">
      <w:pPr>
        <w:rPr>
          <w:rFonts w:cs="Arial"/>
        </w:rPr>
      </w:pPr>
    </w:p>
    <w:p w14:paraId="1CD6789B" w14:textId="3392C2DA" w:rsidR="00AC4C5B" w:rsidRPr="00A36464" w:rsidRDefault="00AC4C5B" w:rsidP="00A36464">
      <w:pPr>
        <w:pStyle w:val="ListParagraph"/>
        <w:rPr>
          <w:b/>
        </w:rPr>
      </w:pPr>
      <w:r w:rsidRPr="00A36464">
        <w:rPr>
          <w:b/>
        </w:rPr>
        <w:t>Disbursements</w:t>
      </w:r>
    </w:p>
    <w:p w14:paraId="7D6D863F" w14:textId="38F7CDEA" w:rsidR="00A36464" w:rsidRPr="00283E3D" w:rsidRDefault="00934116" w:rsidP="00A36464">
      <w:pPr>
        <w:pStyle w:val="Listpara2"/>
        <w:numPr>
          <w:ilvl w:val="2"/>
          <w:numId w:val="20"/>
        </w:numPr>
        <w:rPr>
          <w:color w:val="FF0000"/>
        </w:rPr>
      </w:pPr>
      <w:r w:rsidRPr="003B4909">
        <w:t xml:space="preserve">Under </w:t>
      </w:r>
      <w:r w:rsidR="00AC4C5B" w:rsidRPr="003B4909">
        <w:t xml:space="preserve">FOIA the </w:t>
      </w:r>
      <w:r w:rsidR="004B5020">
        <w:t>practice</w:t>
      </w:r>
      <w:r w:rsidR="00A77475">
        <w:t xml:space="preserve"> </w:t>
      </w:r>
      <w:r w:rsidR="00AC4C5B" w:rsidRPr="003B4909">
        <w:t xml:space="preserve">is permitted to make reasonable charge for photocopying, printing and postage costs </w:t>
      </w:r>
      <w:r w:rsidRPr="003B4909">
        <w:t>or</w:t>
      </w:r>
      <w:r w:rsidR="00AC4C5B" w:rsidRPr="003B4909">
        <w:t xml:space="preserve"> disbursements. </w:t>
      </w:r>
    </w:p>
    <w:p w14:paraId="41D819F5" w14:textId="12171C6C" w:rsidR="00A36464" w:rsidRPr="003B4909" w:rsidRDefault="00971EA8" w:rsidP="00A36464">
      <w:pPr>
        <w:pStyle w:val="Listpara2"/>
        <w:numPr>
          <w:ilvl w:val="2"/>
          <w:numId w:val="20"/>
        </w:numPr>
      </w:pPr>
      <w:r w:rsidRPr="003B4909">
        <w:t>It should be noted that only</w:t>
      </w:r>
      <w:r w:rsidR="00CC6E09" w:rsidRPr="003B4909">
        <w:t xml:space="preserve"> the costs of </w:t>
      </w:r>
      <w:r w:rsidRPr="003B4909">
        <w:t xml:space="preserve">materials can be included in disbursements costs and </w:t>
      </w:r>
      <w:r w:rsidR="00CC6E09" w:rsidRPr="003B4909">
        <w:t>cannot</w:t>
      </w:r>
      <w:r w:rsidRPr="003B4909">
        <w:t xml:space="preserve"> include staff time</w:t>
      </w:r>
      <w:r w:rsidR="00E0254B" w:rsidRPr="003B4909">
        <w:t>.</w:t>
      </w:r>
    </w:p>
    <w:p w14:paraId="7ACF64DF" w14:textId="77777777" w:rsidR="00007466" w:rsidRPr="003B4909" w:rsidRDefault="00007466" w:rsidP="00AC4C5B">
      <w:pPr>
        <w:rPr>
          <w:rFonts w:cs="Arial"/>
        </w:rPr>
      </w:pPr>
    </w:p>
    <w:p w14:paraId="3B8AC746" w14:textId="3B645D94" w:rsidR="00A36464" w:rsidRPr="00A36464" w:rsidRDefault="00F00FEF" w:rsidP="00A36464">
      <w:pPr>
        <w:pStyle w:val="ListParagraph"/>
      </w:pPr>
      <w:r w:rsidRPr="00A36464">
        <w:rPr>
          <w:b/>
        </w:rPr>
        <w:t>Third Party Consultation</w:t>
      </w:r>
    </w:p>
    <w:p w14:paraId="0D41C8FD" w14:textId="3DBFF7BD" w:rsidR="00A36464" w:rsidRPr="003B4909" w:rsidRDefault="000D25B6" w:rsidP="00A36464">
      <w:pPr>
        <w:pStyle w:val="Listpara2"/>
        <w:numPr>
          <w:ilvl w:val="2"/>
          <w:numId w:val="23"/>
        </w:numPr>
      </w:pPr>
      <w:r w:rsidRPr="003B4909">
        <w:t xml:space="preserve">Some </w:t>
      </w:r>
      <w:r w:rsidR="00F00FEF" w:rsidRPr="003B4909">
        <w:t>requests</w:t>
      </w:r>
      <w:r w:rsidRPr="003B4909">
        <w:t xml:space="preserve"> under FOIA</w:t>
      </w:r>
      <w:r w:rsidR="00442B44" w:rsidRPr="003B4909">
        <w:t xml:space="preserve"> may</w:t>
      </w:r>
      <w:r w:rsidR="00F00FEF" w:rsidRPr="003B4909">
        <w:t xml:space="preserve"> require</w:t>
      </w:r>
      <w:r w:rsidRPr="003B4909">
        <w:t xml:space="preserve"> </w:t>
      </w:r>
      <w:r w:rsidR="004B5020">
        <w:t>practice</w:t>
      </w:r>
      <w:r w:rsidR="00A77475">
        <w:t xml:space="preserve"> </w:t>
      </w:r>
      <w:r w:rsidR="000014C9">
        <w:t xml:space="preserve">staff </w:t>
      </w:r>
      <w:r w:rsidRPr="003B4909">
        <w:t>to</w:t>
      </w:r>
      <w:r w:rsidR="00F00FEF" w:rsidRPr="003B4909">
        <w:t xml:space="preserve"> consult with third parties</w:t>
      </w:r>
      <w:r w:rsidR="00CC6E09" w:rsidRPr="003B4909">
        <w:t xml:space="preserve"> (e</w:t>
      </w:r>
      <w:r w:rsidR="00666A69">
        <w:t>.</w:t>
      </w:r>
      <w:r w:rsidR="00CC6E09" w:rsidRPr="003B4909">
        <w:t>g</w:t>
      </w:r>
      <w:r w:rsidR="00666A69">
        <w:t>.</w:t>
      </w:r>
      <w:r w:rsidR="00CC6E09" w:rsidRPr="003B4909">
        <w:t xml:space="preserve"> partner agencies and contractors) </w:t>
      </w:r>
      <w:r w:rsidR="00F00FEF" w:rsidRPr="003B4909">
        <w:t xml:space="preserve">to </w:t>
      </w:r>
      <w:r w:rsidRPr="003B4909">
        <w:t>consider</w:t>
      </w:r>
      <w:r w:rsidR="00F00FEF" w:rsidRPr="003B4909">
        <w:t xml:space="preserve"> whether </w:t>
      </w:r>
      <w:r w:rsidR="00442B44" w:rsidRPr="003B4909">
        <w:t xml:space="preserve">any </w:t>
      </w:r>
      <w:r w:rsidR="00F00FEF" w:rsidRPr="003B4909">
        <w:t>exem</w:t>
      </w:r>
      <w:r w:rsidRPr="003B4909">
        <w:t>ptions app</w:t>
      </w:r>
      <w:r w:rsidR="00356940" w:rsidRPr="003B4909">
        <w:t>ly.</w:t>
      </w:r>
    </w:p>
    <w:p w14:paraId="77794387" w14:textId="3E73DDA4" w:rsidR="00A36464" w:rsidRPr="003B4909" w:rsidRDefault="00F00FEF" w:rsidP="00A36464">
      <w:pPr>
        <w:pStyle w:val="Listpara2"/>
        <w:numPr>
          <w:ilvl w:val="2"/>
          <w:numId w:val="23"/>
        </w:numPr>
      </w:pPr>
      <w:r w:rsidRPr="003B4909">
        <w:t>A refusal to consent to</w:t>
      </w:r>
      <w:r w:rsidR="000D25B6" w:rsidRPr="003B4909">
        <w:t xml:space="preserve"> the</w:t>
      </w:r>
      <w:r w:rsidRPr="003B4909">
        <w:t xml:space="preserve"> disclosure by a third</w:t>
      </w:r>
      <w:r w:rsidR="00442B44" w:rsidRPr="003B4909">
        <w:t xml:space="preserve"> </w:t>
      </w:r>
      <w:r w:rsidRPr="003B4909">
        <w:t xml:space="preserve">party </w:t>
      </w:r>
      <w:r w:rsidR="000D25B6" w:rsidRPr="003B4909">
        <w:t>is not determinative</w:t>
      </w:r>
      <w:r w:rsidR="00E0254B" w:rsidRPr="003B4909">
        <w:t xml:space="preserve"> in whether information is disclosed or otherwise,</w:t>
      </w:r>
      <w:r w:rsidR="000D25B6" w:rsidRPr="003B4909">
        <w:t xml:space="preserve"> but</w:t>
      </w:r>
      <w:r w:rsidR="00E0254B" w:rsidRPr="003B4909">
        <w:t xml:space="preserve"> such opinion</w:t>
      </w:r>
      <w:r w:rsidR="000D25B6" w:rsidRPr="003B4909">
        <w:t xml:space="preserve"> should be considered alongside other</w:t>
      </w:r>
      <w:r w:rsidR="00934116" w:rsidRPr="003B4909">
        <w:t xml:space="preserve"> relevant</w:t>
      </w:r>
      <w:r w:rsidR="000D25B6" w:rsidRPr="003B4909">
        <w:t xml:space="preserve"> factors</w:t>
      </w:r>
      <w:r w:rsidR="00934116" w:rsidRPr="003B4909">
        <w:t xml:space="preserve"> to </w:t>
      </w:r>
      <w:r w:rsidR="00934116" w:rsidRPr="003B4909">
        <w:lastRenderedPageBreak/>
        <w:t>make this assessment</w:t>
      </w:r>
      <w:r w:rsidR="000D25B6" w:rsidRPr="003B4909">
        <w:t>. T</w:t>
      </w:r>
      <w:r w:rsidR="00E0254B" w:rsidRPr="003B4909">
        <w:t xml:space="preserve">he </w:t>
      </w:r>
      <w:r w:rsidR="00442B44" w:rsidRPr="003B4909">
        <w:t>final decision</w:t>
      </w:r>
      <w:r w:rsidR="00E0254B" w:rsidRPr="003B4909">
        <w:t xml:space="preserve"> on whether or not to disclose</w:t>
      </w:r>
      <w:r w:rsidR="00442B44" w:rsidRPr="003B4909">
        <w:t xml:space="preserve"> rest</w:t>
      </w:r>
      <w:r w:rsidR="00E0254B" w:rsidRPr="003B4909">
        <w:t>s solely with</w:t>
      </w:r>
      <w:r w:rsidR="00442B44" w:rsidRPr="003B4909">
        <w:t xml:space="preserve"> </w:t>
      </w:r>
      <w:r w:rsidR="00A77475">
        <w:t xml:space="preserve">the </w:t>
      </w:r>
      <w:r w:rsidR="0088003D">
        <w:t>practice</w:t>
      </w:r>
      <w:r w:rsidR="00934116" w:rsidRPr="003B4909">
        <w:t>.</w:t>
      </w:r>
    </w:p>
    <w:p w14:paraId="2499FD37" w14:textId="554F9A3E" w:rsidR="00A36464" w:rsidRPr="003B4909" w:rsidRDefault="00A77475" w:rsidP="00A36464">
      <w:pPr>
        <w:pStyle w:val="Listpara2"/>
        <w:numPr>
          <w:ilvl w:val="2"/>
          <w:numId w:val="23"/>
        </w:numPr>
      </w:pPr>
      <w:r>
        <w:t xml:space="preserve">The </w:t>
      </w:r>
      <w:r w:rsidR="004B5020">
        <w:t>practice</w:t>
      </w:r>
      <w:r>
        <w:t xml:space="preserve"> </w:t>
      </w:r>
      <w:r w:rsidR="00F00FEF" w:rsidRPr="003B4909">
        <w:t>will only accept information from third parties in confidence, if it is necessary to obtain that</w:t>
      </w:r>
      <w:r w:rsidR="00CB7020" w:rsidRPr="003B4909">
        <w:t xml:space="preserve"> </w:t>
      </w:r>
      <w:r w:rsidR="00F00FEF" w:rsidRPr="003B4909">
        <w:t xml:space="preserve">information in connection with </w:t>
      </w:r>
      <w:r w:rsidR="00E0254B" w:rsidRPr="003B4909">
        <w:t>an</w:t>
      </w:r>
      <w:r w:rsidR="00F00FEF" w:rsidRPr="003B4909">
        <w:t xml:space="preserve"> exercise of any of the functions and it would not</w:t>
      </w:r>
      <w:r w:rsidR="00CB7020" w:rsidRPr="003B4909">
        <w:t xml:space="preserve"> </w:t>
      </w:r>
      <w:r w:rsidR="00F00FEF" w:rsidRPr="003B4909">
        <w:t>otherwise be provided.</w:t>
      </w:r>
      <w:r w:rsidR="00CB7020" w:rsidRPr="003B4909">
        <w:t xml:space="preserve"> </w:t>
      </w:r>
      <w:r>
        <w:t xml:space="preserve">The </w:t>
      </w:r>
      <w:r w:rsidR="004B5020">
        <w:t>practice</w:t>
      </w:r>
      <w:r>
        <w:t xml:space="preserve"> </w:t>
      </w:r>
      <w:r w:rsidR="00F00FEF" w:rsidRPr="003B4909">
        <w:t xml:space="preserve">will not agree to hold information </w:t>
      </w:r>
      <w:r w:rsidR="00CB7020" w:rsidRPr="003B4909">
        <w:t xml:space="preserve">received from third parties "in </w:t>
      </w:r>
      <w:r w:rsidR="00F00FEF" w:rsidRPr="003B4909">
        <w:t>confidence" which i</w:t>
      </w:r>
      <w:r w:rsidR="00CB7020" w:rsidRPr="003B4909">
        <w:t>t beli</w:t>
      </w:r>
      <w:r w:rsidR="000D25B6" w:rsidRPr="003B4909">
        <w:t>e</w:t>
      </w:r>
      <w:r w:rsidR="00CB7020" w:rsidRPr="003B4909">
        <w:t xml:space="preserve">ves does not have the necessary quality of confidence. </w:t>
      </w:r>
    </w:p>
    <w:p w14:paraId="3A3C6BD3" w14:textId="2F9BAECA" w:rsidR="004A6F24" w:rsidRPr="003B4909" w:rsidRDefault="004A6F24" w:rsidP="00A36464">
      <w:pPr>
        <w:pStyle w:val="Listpara2"/>
        <w:numPr>
          <w:ilvl w:val="2"/>
          <w:numId w:val="23"/>
        </w:numPr>
      </w:pPr>
      <w:r w:rsidRPr="003B4909">
        <w:t xml:space="preserve">Potential and existing contractors must be made aware of </w:t>
      </w:r>
      <w:r w:rsidR="0088003D">
        <w:t>practice</w:t>
      </w:r>
      <w:r w:rsidR="00521EEE">
        <w:t xml:space="preserve"> </w:t>
      </w:r>
      <w:r w:rsidRPr="003B4909">
        <w:t xml:space="preserve">obligations with regards to FOIA and EIR and that all information held by the </w:t>
      </w:r>
      <w:r w:rsidR="0088003D">
        <w:t>practice</w:t>
      </w:r>
      <w:r w:rsidR="000014C9">
        <w:t xml:space="preserve"> </w:t>
      </w:r>
      <w:r w:rsidRPr="003B4909">
        <w:t>may be disclosable subject to any relevant exemption that app</w:t>
      </w:r>
      <w:r w:rsidR="0093036C" w:rsidRPr="003B4909">
        <w:t>lies</w:t>
      </w:r>
      <w:r w:rsidRPr="003B4909">
        <w:t xml:space="preserve">. </w:t>
      </w:r>
    </w:p>
    <w:p w14:paraId="3B014236" w14:textId="77777777" w:rsidR="00007466" w:rsidRPr="003B4909" w:rsidRDefault="00007466" w:rsidP="00F00FEF">
      <w:pPr>
        <w:rPr>
          <w:rFonts w:cs="Arial"/>
        </w:rPr>
      </w:pPr>
    </w:p>
    <w:p w14:paraId="2E00FFDE" w14:textId="77777777" w:rsidR="00CB7020" w:rsidRPr="003B4909" w:rsidRDefault="00CB7020" w:rsidP="00F00FEF">
      <w:pPr>
        <w:rPr>
          <w:rFonts w:cs="Arial"/>
        </w:rPr>
      </w:pPr>
    </w:p>
    <w:p w14:paraId="7764A696" w14:textId="7183F965" w:rsidR="00F00FEF" w:rsidRPr="00A36464" w:rsidRDefault="00F00FEF" w:rsidP="00A36464">
      <w:pPr>
        <w:pStyle w:val="ListParagraph"/>
        <w:rPr>
          <w:b/>
        </w:rPr>
      </w:pPr>
      <w:r w:rsidRPr="00A36464">
        <w:rPr>
          <w:b/>
        </w:rPr>
        <w:t>Transferr</w:t>
      </w:r>
      <w:r w:rsidR="000D25B6" w:rsidRPr="00A36464">
        <w:rPr>
          <w:b/>
        </w:rPr>
        <w:t>ing</w:t>
      </w:r>
      <w:r w:rsidRPr="00A36464">
        <w:rPr>
          <w:b/>
        </w:rPr>
        <w:t xml:space="preserve"> Requests</w:t>
      </w:r>
    </w:p>
    <w:p w14:paraId="0E1C2D68" w14:textId="3ECD6921" w:rsidR="00A36464" w:rsidRDefault="00F00FEF" w:rsidP="00F00FEF">
      <w:pPr>
        <w:pStyle w:val="Listpara2"/>
        <w:numPr>
          <w:ilvl w:val="2"/>
          <w:numId w:val="25"/>
        </w:numPr>
      </w:pPr>
      <w:r w:rsidRPr="003B4909">
        <w:t>A request can only be transferred</w:t>
      </w:r>
      <w:r w:rsidR="008464C4" w:rsidRPr="003B4909">
        <w:t xml:space="preserve"> to another </w:t>
      </w:r>
      <w:r w:rsidR="008464C4" w:rsidRPr="00A370CF">
        <w:t>public body</w:t>
      </w:r>
      <w:r w:rsidRPr="00A370CF">
        <w:t xml:space="preserve"> </w:t>
      </w:r>
      <w:r w:rsidRPr="003B4909">
        <w:t>wher</w:t>
      </w:r>
      <w:r w:rsidR="00A370CF">
        <w:t xml:space="preserve">e </w:t>
      </w:r>
      <w:r w:rsidR="00521EEE">
        <w:t xml:space="preserve">the </w:t>
      </w:r>
      <w:r w:rsidR="004B5020">
        <w:t>practice</w:t>
      </w:r>
      <w:r w:rsidR="00521EEE">
        <w:t xml:space="preserve"> </w:t>
      </w:r>
      <w:r w:rsidRPr="003B4909">
        <w:t>receives a request for information which it does</w:t>
      </w:r>
      <w:r w:rsidR="00CB7020" w:rsidRPr="003B4909">
        <w:t xml:space="preserve"> </w:t>
      </w:r>
      <w:r w:rsidRPr="003B4909">
        <w:t>not hold</w:t>
      </w:r>
      <w:r w:rsidR="00934116" w:rsidRPr="003B4909">
        <w:t xml:space="preserve"> itself</w:t>
      </w:r>
      <w:r w:rsidR="008464C4" w:rsidRPr="003B4909">
        <w:t>. There may be occasion that</w:t>
      </w:r>
      <w:r w:rsidR="00521EEE">
        <w:t xml:space="preserve"> the </w:t>
      </w:r>
      <w:r w:rsidR="004B5020">
        <w:t>practice</w:t>
      </w:r>
      <w:r w:rsidR="00CB7020" w:rsidRPr="003B4909">
        <w:t xml:space="preserve"> </w:t>
      </w:r>
      <w:r w:rsidRPr="003B4909">
        <w:t>hold</w:t>
      </w:r>
      <w:r w:rsidR="008464C4" w:rsidRPr="003B4909">
        <w:t>s</w:t>
      </w:r>
      <w:r w:rsidRPr="003B4909">
        <w:t xml:space="preserve"> only part of the information in which</w:t>
      </w:r>
      <w:r w:rsidR="005574D7" w:rsidRPr="003B4909">
        <w:t xml:space="preserve"> case </w:t>
      </w:r>
      <w:r w:rsidR="00521EEE" w:rsidRPr="00961E58">
        <w:t xml:space="preserve">the </w:t>
      </w:r>
      <w:r w:rsidR="004B5020">
        <w:t>practice</w:t>
      </w:r>
      <w:r w:rsidR="008464C4" w:rsidRPr="003B4909">
        <w:t xml:space="preserve"> should respond to that part of the request</w:t>
      </w:r>
      <w:r w:rsidR="005574D7" w:rsidRPr="003B4909">
        <w:t xml:space="preserve"> for</w:t>
      </w:r>
      <w:r w:rsidR="008464C4" w:rsidRPr="003B4909">
        <w:t xml:space="preserve"> which it holds information and transfer the</w:t>
      </w:r>
      <w:r w:rsidR="005574D7" w:rsidRPr="003B4909">
        <w:t xml:space="preserve"> remaining part </w:t>
      </w:r>
      <w:r w:rsidR="008464C4" w:rsidRPr="003B4909">
        <w:t xml:space="preserve">of the request to the </w:t>
      </w:r>
      <w:r w:rsidR="008464C4" w:rsidRPr="00A370CF">
        <w:t xml:space="preserve">other public body </w:t>
      </w:r>
      <w:r w:rsidR="008464C4" w:rsidRPr="003B4909">
        <w:t>for it to respond separately</w:t>
      </w:r>
    </w:p>
    <w:p w14:paraId="0D9A8CF2" w14:textId="02FEB4F1" w:rsidR="00A36464" w:rsidRDefault="008464C4" w:rsidP="00F00FEF">
      <w:pPr>
        <w:pStyle w:val="Listpara2"/>
        <w:numPr>
          <w:ilvl w:val="2"/>
          <w:numId w:val="25"/>
        </w:numPr>
      </w:pPr>
      <w:r w:rsidRPr="00A36464">
        <w:t xml:space="preserve">Before transferring a </w:t>
      </w:r>
      <w:r w:rsidR="009C1F6E" w:rsidRPr="00A36464">
        <w:t>request,</w:t>
      </w:r>
      <w:r w:rsidRPr="00A36464">
        <w:t xml:space="preserve"> </w:t>
      </w:r>
      <w:r w:rsidR="00521EEE">
        <w:t xml:space="preserve">the </w:t>
      </w:r>
      <w:r w:rsidR="004B5020">
        <w:t>practice</w:t>
      </w:r>
      <w:r w:rsidRPr="00521EEE">
        <w:t xml:space="preserve"> </w:t>
      </w:r>
      <w:r w:rsidRPr="00A36464">
        <w:t xml:space="preserve">must ensure that the identified </w:t>
      </w:r>
      <w:r w:rsidR="005574D7" w:rsidRPr="00A36464">
        <w:t>public body</w:t>
      </w:r>
      <w:r w:rsidRPr="00A36464">
        <w:t xml:space="preserve"> does indeed hold the information that has been requested. </w:t>
      </w:r>
      <w:r w:rsidR="009C1F6E" w:rsidRPr="00A36464">
        <w:t>Furthermore,</w:t>
      </w:r>
      <w:r w:rsidRPr="00A36464">
        <w:t xml:space="preserve"> the applicant </w:t>
      </w:r>
      <w:r w:rsidR="005574D7" w:rsidRPr="00A36464">
        <w:t xml:space="preserve">should be contacted </w:t>
      </w:r>
      <w:r w:rsidRPr="00A36464">
        <w:t xml:space="preserve">as soon as possible to advise that </w:t>
      </w:r>
      <w:r w:rsidR="00521EEE" w:rsidRPr="00961E58">
        <w:t>the</w:t>
      </w:r>
      <w:r w:rsidR="00521EEE">
        <w:t xml:space="preserve"> </w:t>
      </w:r>
      <w:r w:rsidR="004B5020">
        <w:t>practice</w:t>
      </w:r>
      <w:r w:rsidRPr="00A36464">
        <w:t xml:space="preserve"> does not hold the information</w:t>
      </w:r>
      <w:r w:rsidR="007A5707" w:rsidRPr="00A36464">
        <w:t xml:space="preserve"> and</w:t>
      </w:r>
      <w:r w:rsidRPr="00A36464">
        <w:t xml:space="preserve"> to seek consent to transferring the request</w:t>
      </w:r>
      <w:r w:rsidR="005574D7" w:rsidRPr="00A36464">
        <w:t xml:space="preserve"> to the public body holding the information</w:t>
      </w:r>
      <w:r w:rsidRPr="00A36464">
        <w:t xml:space="preserve">. </w:t>
      </w:r>
      <w:r w:rsidR="005574D7" w:rsidRPr="00A36464">
        <w:t xml:space="preserve">Alternatively the </w:t>
      </w:r>
      <w:r w:rsidRPr="00A36464">
        <w:t>applicant should be advised to contact the public body holding the information directly.</w:t>
      </w:r>
    </w:p>
    <w:p w14:paraId="0DDBC869" w14:textId="3AC3B600" w:rsidR="00F00FEF" w:rsidRPr="00A36464" w:rsidRDefault="005574D7" w:rsidP="00F00FEF">
      <w:pPr>
        <w:pStyle w:val="Listpara2"/>
        <w:numPr>
          <w:ilvl w:val="2"/>
          <w:numId w:val="25"/>
        </w:numPr>
      </w:pPr>
      <w:r w:rsidRPr="00A36464">
        <w:t>Where</w:t>
      </w:r>
      <w:r w:rsidR="00934116" w:rsidRPr="00A36464">
        <w:t xml:space="preserve"> information is held on </w:t>
      </w:r>
      <w:r w:rsidR="004B5020">
        <w:t>practice</w:t>
      </w:r>
      <w:r w:rsidR="00521EEE">
        <w:t xml:space="preserve">’s </w:t>
      </w:r>
      <w:r w:rsidR="00934116" w:rsidRPr="00A36464">
        <w:t>behalf by a third party</w:t>
      </w:r>
      <w:r w:rsidR="00C45257" w:rsidRPr="00A36464">
        <w:t xml:space="preserve"> (</w:t>
      </w:r>
      <w:r w:rsidR="0081035D" w:rsidRPr="00A36464">
        <w:t>e.g.</w:t>
      </w:r>
      <w:r w:rsidR="00C45257" w:rsidRPr="00A36464">
        <w:t xml:space="preserve"> a contractor)</w:t>
      </w:r>
      <w:r w:rsidR="00934116" w:rsidRPr="00A36464">
        <w:t xml:space="preserve">, this is captured by FOIA and </w:t>
      </w:r>
      <w:r w:rsidR="00521EEE">
        <w:t xml:space="preserve">the </w:t>
      </w:r>
      <w:r w:rsidR="004B5020">
        <w:t>practice</w:t>
      </w:r>
      <w:r w:rsidR="00521EEE">
        <w:t xml:space="preserve"> </w:t>
      </w:r>
      <w:r w:rsidR="00934116" w:rsidRPr="00A36464">
        <w:t>should respond as if it physically held the information.</w:t>
      </w:r>
    </w:p>
    <w:p w14:paraId="43A42DA6" w14:textId="77777777" w:rsidR="00CB7020" w:rsidRPr="003B4909" w:rsidRDefault="00CB7020" w:rsidP="00F00FEF">
      <w:pPr>
        <w:rPr>
          <w:rFonts w:cs="Arial"/>
        </w:rPr>
      </w:pPr>
    </w:p>
    <w:p w14:paraId="0C781A6A" w14:textId="04AA75ED" w:rsidR="00CB7020" w:rsidRPr="00A36464" w:rsidRDefault="000D25B6" w:rsidP="00A36464">
      <w:pPr>
        <w:pStyle w:val="ListParagraph"/>
        <w:rPr>
          <w:b/>
        </w:rPr>
      </w:pPr>
      <w:r w:rsidRPr="00A36464">
        <w:rPr>
          <w:b/>
        </w:rPr>
        <w:t>Right of Appeal</w:t>
      </w:r>
    </w:p>
    <w:p w14:paraId="10870552" w14:textId="77777777" w:rsidR="000D25B6" w:rsidRPr="003B4909" w:rsidRDefault="00F80F49" w:rsidP="00A36464">
      <w:pPr>
        <w:pStyle w:val="Listpara2"/>
        <w:numPr>
          <w:ilvl w:val="2"/>
          <w:numId w:val="26"/>
        </w:numPr>
      </w:pPr>
      <w:r w:rsidRPr="003B4909">
        <w:t>In circumstances where information is being withheld in part or completely</w:t>
      </w:r>
      <w:r w:rsidR="0093036C" w:rsidRPr="003B4909">
        <w:t>,</w:t>
      </w:r>
      <w:r w:rsidRPr="003B4909">
        <w:t xml:space="preserve"> a refusal notice must be issued to the applicant which must include references to the right of appeal. Although there is no legal requirement to refer to this right of appeal if supplying</w:t>
      </w:r>
      <w:r w:rsidR="007A5707" w:rsidRPr="003B4909">
        <w:t xml:space="preserve"> all</w:t>
      </w:r>
      <w:r w:rsidRPr="003B4909">
        <w:t xml:space="preserve"> the information as requested</w:t>
      </w:r>
      <w:r w:rsidR="0093036C" w:rsidRPr="003B4909">
        <w:t>,</w:t>
      </w:r>
      <w:r w:rsidRPr="003B4909">
        <w:t xml:space="preserve"> it is good practice to do so.</w:t>
      </w:r>
    </w:p>
    <w:p w14:paraId="26E3E725" w14:textId="77777777" w:rsidR="0093036C" w:rsidRPr="003B4909" w:rsidRDefault="0093036C" w:rsidP="00F00FEF">
      <w:pPr>
        <w:rPr>
          <w:rFonts w:cs="Arial"/>
        </w:rPr>
      </w:pPr>
    </w:p>
    <w:p w14:paraId="10272D71" w14:textId="77777777" w:rsidR="000D25B6" w:rsidRPr="003B4909" w:rsidRDefault="000D25B6" w:rsidP="00F00FEF">
      <w:pPr>
        <w:rPr>
          <w:rFonts w:cs="Arial"/>
        </w:rPr>
      </w:pPr>
    </w:p>
    <w:p w14:paraId="4BD19493" w14:textId="57F7089B" w:rsidR="00A36464" w:rsidRPr="00A36464" w:rsidRDefault="00F80F49" w:rsidP="00A36464">
      <w:pPr>
        <w:pStyle w:val="ListParagraph"/>
        <w:rPr>
          <w:b/>
        </w:rPr>
      </w:pPr>
      <w:r w:rsidRPr="00A36464">
        <w:rPr>
          <w:b/>
        </w:rPr>
        <w:t>R</w:t>
      </w:r>
      <w:r w:rsidR="00F00FEF" w:rsidRPr="00A36464">
        <w:rPr>
          <w:b/>
        </w:rPr>
        <w:t>eview process</w:t>
      </w:r>
    </w:p>
    <w:p w14:paraId="6B645EB8" w14:textId="626D3578" w:rsidR="00F80F49" w:rsidRPr="00A36464" w:rsidRDefault="00F00FEF" w:rsidP="00A36464">
      <w:pPr>
        <w:pStyle w:val="Listpara2"/>
        <w:numPr>
          <w:ilvl w:val="2"/>
          <w:numId w:val="27"/>
        </w:numPr>
        <w:rPr>
          <w:b/>
        </w:rPr>
      </w:pPr>
      <w:r w:rsidRPr="00A36464">
        <w:t>A formal review process</w:t>
      </w:r>
      <w:r w:rsidR="00AC4C5B" w:rsidRPr="00A36464">
        <w:t xml:space="preserve"> </w:t>
      </w:r>
      <w:r w:rsidRPr="00A36464">
        <w:t xml:space="preserve">must be carried out </w:t>
      </w:r>
      <w:r w:rsidR="00AC4C5B" w:rsidRPr="00A36464">
        <w:t xml:space="preserve">by </w:t>
      </w:r>
      <w:r w:rsidR="00521EEE">
        <w:t xml:space="preserve">the </w:t>
      </w:r>
      <w:r w:rsidR="004B5020">
        <w:t>practice</w:t>
      </w:r>
      <w:r w:rsidR="00AC4C5B" w:rsidRPr="00A36464">
        <w:t xml:space="preserve"> </w:t>
      </w:r>
      <w:r w:rsidRPr="00A36464">
        <w:t>if</w:t>
      </w:r>
      <w:r w:rsidR="00F80F49" w:rsidRPr="00A36464">
        <w:t xml:space="preserve"> requested by the applicant. This may happen where the applicant is unsatisfied about any aspect of how their request was handled (including exceeding the 20</w:t>
      </w:r>
      <w:r w:rsidR="009C1F6E">
        <w:t xml:space="preserve"> </w:t>
      </w:r>
      <w:r w:rsidR="00F80F49" w:rsidRPr="00A36464">
        <w:t>day time limit). Although there is no set time stated for when the review must be completed</w:t>
      </w:r>
      <w:r w:rsidR="007A5707" w:rsidRPr="00A36464">
        <w:t>,</w:t>
      </w:r>
      <w:r w:rsidR="00F80F49" w:rsidRPr="00A36464">
        <w:t xml:space="preserve"> </w:t>
      </w:r>
      <w:r w:rsidR="00E10BF1">
        <w:t xml:space="preserve">the </w:t>
      </w:r>
      <w:r w:rsidR="002D5DA8">
        <w:t>Practice</w:t>
      </w:r>
      <w:r w:rsidR="00E10BF1">
        <w:t xml:space="preserve"> Manager </w:t>
      </w:r>
      <w:r w:rsidR="00AC4C5B" w:rsidRPr="00A36464">
        <w:t>should</w:t>
      </w:r>
      <w:r w:rsidR="007A5707" w:rsidRPr="00A36464">
        <w:t xml:space="preserve"> aim to</w:t>
      </w:r>
      <w:r w:rsidR="00AC4C5B" w:rsidRPr="00A36464">
        <w:t xml:space="preserve"> complete</w:t>
      </w:r>
      <w:r w:rsidR="00F80F49" w:rsidRPr="00A36464">
        <w:t xml:space="preserve"> the appeal and respond to the applicant within 20</w:t>
      </w:r>
      <w:r w:rsidR="007A5707" w:rsidRPr="00A36464">
        <w:t xml:space="preserve"> working</w:t>
      </w:r>
      <w:r w:rsidR="00F80F49" w:rsidRPr="00A36464">
        <w:t xml:space="preserve"> days of receiving the</w:t>
      </w:r>
      <w:r w:rsidR="00D422D1" w:rsidRPr="00A36464">
        <w:t xml:space="preserve"> written</w:t>
      </w:r>
      <w:r w:rsidR="00F80F49" w:rsidRPr="00A36464">
        <w:t xml:space="preserve"> appeal </w:t>
      </w:r>
      <w:r w:rsidR="00F80F49" w:rsidRPr="00A36464">
        <w:lastRenderedPageBreak/>
        <w:t>request.</w:t>
      </w:r>
      <w:r w:rsidR="00AC4C5B" w:rsidRPr="00A36464">
        <w:t xml:space="preserve"> </w:t>
      </w:r>
      <w:r w:rsidR="00F80F49" w:rsidRPr="00A36464">
        <w:t xml:space="preserve"> If the applicant is still unhappy they may apply to the Information Commissioner to review their case.</w:t>
      </w:r>
      <w:r w:rsidR="00AC4C5B" w:rsidRPr="00A36464">
        <w:t xml:space="preserve"> Full details of the review procedure can be found </w:t>
      </w:r>
      <w:r w:rsidR="00B80725" w:rsidRPr="00A36464">
        <w:t xml:space="preserve">at </w:t>
      </w:r>
      <w:r w:rsidR="00B80725" w:rsidRPr="00A36464">
        <w:rPr>
          <w:b/>
        </w:rPr>
        <w:t>A</w:t>
      </w:r>
      <w:r w:rsidR="003B4909" w:rsidRPr="00A36464">
        <w:rPr>
          <w:b/>
        </w:rPr>
        <w:t>ppendi</w:t>
      </w:r>
      <w:r w:rsidR="00B80725" w:rsidRPr="00A36464">
        <w:rPr>
          <w:b/>
        </w:rPr>
        <w:t>x 3</w:t>
      </w:r>
      <w:r w:rsidR="0093036C" w:rsidRPr="00A36464">
        <w:t xml:space="preserve"> attached.</w:t>
      </w:r>
    </w:p>
    <w:p w14:paraId="04929EE6" w14:textId="77777777" w:rsidR="0093036C" w:rsidRPr="003B4909" w:rsidRDefault="0093036C" w:rsidP="00F00FEF">
      <w:pPr>
        <w:rPr>
          <w:rFonts w:cs="Arial"/>
        </w:rPr>
      </w:pPr>
    </w:p>
    <w:p w14:paraId="3CD8A82A" w14:textId="2C44E80F" w:rsidR="00A303C4" w:rsidRDefault="00A303C4" w:rsidP="00A36464">
      <w:pPr>
        <w:pStyle w:val="Heading1"/>
      </w:pPr>
      <w:bookmarkStart w:id="7" w:name="_Toc86323359"/>
      <w:r w:rsidRPr="003B4909">
        <w:t>Disposal and Destruction of information</w:t>
      </w:r>
      <w:bookmarkEnd w:id="7"/>
    </w:p>
    <w:p w14:paraId="09C6B302" w14:textId="77777777" w:rsidR="00A36464" w:rsidRPr="00A36464" w:rsidRDefault="00A36464" w:rsidP="00A36464"/>
    <w:p w14:paraId="213ED536" w14:textId="7FFA80AE" w:rsidR="00A36464" w:rsidRDefault="00A303C4" w:rsidP="00F00FEF">
      <w:pPr>
        <w:pStyle w:val="ListParagraph"/>
      </w:pPr>
      <w:r w:rsidRPr="003B4909">
        <w:t xml:space="preserve">FOIA only applies to information that a </w:t>
      </w:r>
      <w:r w:rsidR="0088003D">
        <w:t>practice</w:t>
      </w:r>
      <w:r w:rsidR="00E10BF1">
        <w:t xml:space="preserve"> </w:t>
      </w:r>
      <w:r w:rsidRPr="003B4909">
        <w:t>holds. Where information is earmarked for disposal</w:t>
      </w:r>
      <w:r w:rsidR="00955989" w:rsidRPr="003B4909">
        <w:t>,</w:t>
      </w:r>
      <w:r w:rsidRPr="003B4909">
        <w:t xml:space="preserve"> as it is no longer required</w:t>
      </w:r>
      <w:r w:rsidR="007A5707" w:rsidRPr="003B4909">
        <w:t>,</w:t>
      </w:r>
      <w:r w:rsidRPr="003B4909">
        <w:t xml:space="preserve"> there is nothing preventing </w:t>
      </w:r>
      <w:r w:rsidR="00E10BF1">
        <w:t xml:space="preserve">schools </w:t>
      </w:r>
      <w:r w:rsidRPr="003B4909">
        <w:t xml:space="preserve">from carrying out these routine records management responsibilities. </w:t>
      </w:r>
    </w:p>
    <w:p w14:paraId="3F2993B0" w14:textId="182918DE" w:rsidR="00A36464" w:rsidRDefault="007026FD" w:rsidP="00F00FEF">
      <w:pPr>
        <w:pStyle w:val="ListParagraph"/>
      </w:pPr>
      <w:r>
        <w:t>I</w:t>
      </w:r>
      <w:r w:rsidR="00A303C4" w:rsidRPr="00A36464">
        <w:t xml:space="preserve">t is illegal under the </w:t>
      </w:r>
      <w:r w:rsidR="00552481" w:rsidRPr="00A36464">
        <w:t xml:space="preserve">section 77 of </w:t>
      </w:r>
      <w:r w:rsidR="00A303C4" w:rsidRPr="00A36464">
        <w:t xml:space="preserve">FOIA to wilfully destroy or alter any original </w:t>
      </w:r>
      <w:r w:rsidR="00955989" w:rsidRPr="00A36464">
        <w:t xml:space="preserve">documents in order to avoid releasing information. It is important to note that it is the individual that is responsible rather than the public body and carries a fine of </w:t>
      </w:r>
      <w:r w:rsidR="007A5707" w:rsidRPr="00A36464">
        <w:t xml:space="preserve">up </w:t>
      </w:r>
      <w:r w:rsidR="00955989" w:rsidRPr="00A36464">
        <w:t xml:space="preserve">to £5000. </w:t>
      </w:r>
      <w:r>
        <w:t>A</w:t>
      </w:r>
      <w:r w:rsidR="00955989" w:rsidRPr="00A36464">
        <w:t xml:space="preserve">ny </w:t>
      </w:r>
      <w:r w:rsidR="00A370CF">
        <w:t xml:space="preserve">person </w:t>
      </w:r>
      <w:r w:rsidR="00955989" w:rsidRPr="00A36464">
        <w:t>found guilty of such an offence will almost certainly face internal disciplinary proceedings and possible dismissal.</w:t>
      </w:r>
    </w:p>
    <w:p w14:paraId="66E1DE56" w14:textId="315A5525" w:rsidR="00D6633D" w:rsidRPr="00A36464" w:rsidRDefault="00D6633D" w:rsidP="00F00FEF">
      <w:pPr>
        <w:pStyle w:val="ListParagraph"/>
      </w:pPr>
      <w:r w:rsidRPr="00A36464">
        <w:t xml:space="preserve">Please </w:t>
      </w:r>
      <w:r w:rsidR="00111850" w:rsidRPr="00A36464">
        <w:t>also see</w:t>
      </w:r>
      <w:r w:rsidR="00552481" w:rsidRPr="00A36464">
        <w:t xml:space="preserve"> </w:t>
      </w:r>
      <w:r w:rsidRPr="00A36464">
        <w:t>section 11 below which relates to</w:t>
      </w:r>
      <w:r w:rsidR="00111850" w:rsidRPr="00A36464">
        <w:t xml:space="preserve"> the</w:t>
      </w:r>
      <w:r w:rsidRPr="00A36464">
        <w:t xml:space="preserve"> retention schedule for FOIA related documents.</w:t>
      </w:r>
    </w:p>
    <w:p w14:paraId="021B852D" w14:textId="77777777" w:rsidR="00583061" w:rsidRPr="003B4909" w:rsidRDefault="00583061" w:rsidP="00F00FEF">
      <w:pPr>
        <w:rPr>
          <w:rFonts w:cs="Arial"/>
        </w:rPr>
      </w:pPr>
    </w:p>
    <w:p w14:paraId="74D0D374" w14:textId="1039480E" w:rsidR="00583061" w:rsidRPr="003B4909" w:rsidRDefault="00583061" w:rsidP="00A36464">
      <w:pPr>
        <w:pStyle w:val="Heading1"/>
      </w:pPr>
      <w:bookmarkStart w:id="8" w:name="_Toc86323360"/>
      <w:r w:rsidRPr="003B4909">
        <w:t>Publication Scheme</w:t>
      </w:r>
      <w:bookmarkEnd w:id="8"/>
    </w:p>
    <w:p w14:paraId="0A4D0D9F" w14:textId="77777777" w:rsidR="00583061" w:rsidRPr="003B4909" w:rsidRDefault="00583061" w:rsidP="00F00FEF">
      <w:pPr>
        <w:rPr>
          <w:rFonts w:cs="Arial"/>
          <w:b/>
          <w:sz w:val="28"/>
          <w:szCs w:val="28"/>
          <w:u w:val="single"/>
        </w:rPr>
      </w:pPr>
    </w:p>
    <w:p w14:paraId="49103659" w14:textId="1441A66B" w:rsidR="009265C0" w:rsidRPr="003B4909" w:rsidRDefault="00583061" w:rsidP="00A36464">
      <w:pPr>
        <w:pStyle w:val="ListParagraph"/>
      </w:pPr>
      <w:r w:rsidRPr="003B4909">
        <w:t xml:space="preserve">FOIA requires </w:t>
      </w:r>
      <w:r w:rsidR="00526B12">
        <w:t>all public bodies</w:t>
      </w:r>
      <w:r w:rsidR="00E10BF1">
        <w:t xml:space="preserve"> </w:t>
      </w:r>
      <w:r w:rsidRPr="003B4909">
        <w:t xml:space="preserve">to </w:t>
      </w:r>
      <w:r w:rsidR="00526B12">
        <w:t xml:space="preserve">have a publication scheme. The practice has chosen to adopt </w:t>
      </w:r>
      <w:r w:rsidRPr="003B4909">
        <w:t>the I</w:t>
      </w:r>
      <w:hyperlink r:id="rId11" w:history="1">
        <w:r w:rsidRPr="00526B12">
          <w:rPr>
            <w:rStyle w:val="Hyperlink"/>
          </w:rPr>
          <w:t xml:space="preserve">nformation Commissioner’s </w:t>
        </w:r>
        <w:r w:rsidR="00526B12">
          <w:rPr>
            <w:rStyle w:val="Hyperlink"/>
          </w:rPr>
          <w:t xml:space="preserve">Model </w:t>
        </w:r>
        <w:r w:rsidR="006F7664" w:rsidRPr="00526B12">
          <w:rPr>
            <w:rStyle w:val="Hyperlink"/>
          </w:rPr>
          <w:t>Publication Scheme</w:t>
        </w:r>
      </w:hyperlink>
      <w:r w:rsidR="009265C0" w:rsidRPr="003B4909">
        <w:t>. The scheme:</w:t>
      </w:r>
    </w:p>
    <w:p w14:paraId="0E01C6E8" w14:textId="77777777" w:rsidR="009265C0" w:rsidRPr="003B4909" w:rsidRDefault="009265C0" w:rsidP="009265C0">
      <w:pPr>
        <w:rPr>
          <w:rFonts w:cs="Arial"/>
          <w:color w:val="333333"/>
          <w:lang w:val="en"/>
        </w:rPr>
      </w:pPr>
      <w:r w:rsidRPr="003B4909">
        <w:rPr>
          <w:rFonts w:cs="Arial"/>
          <w:color w:val="333333"/>
          <w:lang w:val="en"/>
        </w:rPr>
        <w:t xml:space="preserve"> </w:t>
      </w:r>
    </w:p>
    <w:p w14:paraId="75386C33" w14:textId="77777777" w:rsidR="009265C0" w:rsidRPr="00A36464" w:rsidRDefault="009265C0" w:rsidP="00A36464">
      <w:pPr>
        <w:pStyle w:val="ListParagraph"/>
        <w:numPr>
          <w:ilvl w:val="0"/>
          <w:numId w:val="28"/>
        </w:numPr>
        <w:spacing w:after="60"/>
        <w:rPr>
          <w:color w:val="333333"/>
          <w:lang w:val="en"/>
        </w:rPr>
      </w:pPr>
      <w:r w:rsidRPr="00A36464">
        <w:rPr>
          <w:color w:val="333333"/>
          <w:lang w:val="en"/>
        </w:rPr>
        <w:t>sets out the types of information we must routinely publish;</w:t>
      </w:r>
    </w:p>
    <w:p w14:paraId="109BCA08" w14:textId="77777777" w:rsidR="009265C0" w:rsidRPr="00A36464" w:rsidRDefault="009265C0" w:rsidP="00A36464">
      <w:pPr>
        <w:pStyle w:val="ListParagraph"/>
        <w:numPr>
          <w:ilvl w:val="0"/>
          <w:numId w:val="28"/>
        </w:numPr>
        <w:spacing w:after="60"/>
        <w:rPr>
          <w:color w:val="333333"/>
          <w:lang w:val="en"/>
        </w:rPr>
      </w:pPr>
      <w:r w:rsidRPr="00A36464">
        <w:rPr>
          <w:color w:val="333333"/>
          <w:lang w:val="en"/>
        </w:rPr>
        <w:t xml:space="preserve">explains the way we must provide the information; </w:t>
      </w:r>
    </w:p>
    <w:p w14:paraId="75C1EA4C" w14:textId="77777777" w:rsidR="00A36464" w:rsidRPr="00A36464" w:rsidRDefault="009265C0" w:rsidP="00A36464">
      <w:pPr>
        <w:pStyle w:val="ListParagraph"/>
        <w:numPr>
          <w:ilvl w:val="0"/>
          <w:numId w:val="28"/>
        </w:numPr>
        <w:spacing w:after="60"/>
        <w:rPr>
          <w:color w:val="333333"/>
          <w:lang w:val="en"/>
        </w:rPr>
      </w:pPr>
      <w:r w:rsidRPr="00A36464">
        <w:rPr>
          <w:color w:val="333333"/>
          <w:lang w:val="en"/>
        </w:rPr>
        <w:t xml:space="preserve">states what charges can be sought for providing information; and </w:t>
      </w:r>
    </w:p>
    <w:p w14:paraId="424FB9D4" w14:textId="7959E93E" w:rsidR="009265C0" w:rsidRPr="00A36464" w:rsidRDefault="009265C0" w:rsidP="00A36464">
      <w:pPr>
        <w:pStyle w:val="ListParagraph"/>
        <w:numPr>
          <w:ilvl w:val="0"/>
          <w:numId w:val="28"/>
        </w:numPr>
        <w:spacing w:after="60"/>
        <w:rPr>
          <w:color w:val="333333"/>
          <w:lang w:val="en"/>
        </w:rPr>
      </w:pPr>
      <w:r w:rsidRPr="00A36464">
        <w:rPr>
          <w:color w:val="333333"/>
          <w:lang w:val="en"/>
        </w:rPr>
        <w:t xml:space="preserve">commits the </w:t>
      </w:r>
      <w:r w:rsidR="004B5020">
        <w:rPr>
          <w:color w:val="333333"/>
          <w:lang w:val="en"/>
        </w:rPr>
        <w:t>practice</w:t>
      </w:r>
      <w:r w:rsidR="00E10BF1">
        <w:rPr>
          <w:color w:val="333333"/>
          <w:lang w:val="en"/>
        </w:rPr>
        <w:t xml:space="preserve"> </w:t>
      </w:r>
      <w:r w:rsidRPr="00A36464">
        <w:rPr>
          <w:color w:val="333333"/>
          <w:lang w:val="en"/>
        </w:rPr>
        <w:t xml:space="preserve">to providing and maintaining a guide to the information it provides, how it is provided and any charges where they apply. </w:t>
      </w:r>
    </w:p>
    <w:p w14:paraId="0798C9D1" w14:textId="77777777" w:rsidR="003B4909" w:rsidRPr="003B4909" w:rsidRDefault="003B4909" w:rsidP="003B4909">
      <w:pPr>
        <w:spacing w:after="60"/>
        <w:ind w:left="180"/>
        <w:rPr>
          <w:rFonts w:cs="Arial"/>
          <w:color w:val="333333"/>
          <w:lang w:val="en"/>
        </w:rPr>
      </w:pPr>
    </w:p>
    <w:p w14:paraId="093B7BB6" w14:textId="2EF3EE44" w:rsidR="00267BA3" w:rsidRPr="00A370CF" w:rsidRDefault="009265C0" w:rsidP="00A370CF">
      <w:pPr>
        <w:pStyle w:val="ListParagraph"/>
      </w:pPr>
      <w:r w:rsidRPr="00A370CF">
        <w:t xml:space="preserve">The publication scheme </w:t>
      </w:r>
      <w:r w:rsidRPr="003B4909">
        <w:t>facilitates the pro-active release of information an</w:t>
      </w:r>
      <w:r w:rsidR="006A1275" w:rsidRPr="003B4909">
        <w:t xml:space="preserve">d the </w:t>
      </w:r>
      <w:r w:rsidR="004B5020">
        <w:t>practice</w:t>
      </w:r>
      <w:r w:rsidR="00523F54">
        <w:t xml:space="preserve"> </w:t>
      </w:r>
      <w:r w:rsidR="006A1275" w:rsidRPr="003B4909">
        <w:t xml:space="preserve">encourages as much information as possible to be released in this way and not just to information prescribed </w:t>
      </w:r>
      <w:r w:rsidR="007A5707" w:rsidRPr="003B4909">
        <w:t xml:space="preserve">within </w:t>
      </w:r>
      <w:r w:rsidR="006A1275" w:rsidRPr="003B4909">
        <w:t>the publication scheme.</w:t>
      </w:r>
    </w:p>
    <w:p w14:paraId="4A05A60C" w14:textId="77777777" w:rsidR="00267BA3" w:rsidRPr="003B4909" w:rsidRDefault="00267BA3" w:rsidP="009265C0">
      <w:pPr>
        <w:rPr>
          <w:rFonts w:cs="Arial"/>
        </w:rPr>
      </w:pPr>
    </w:p>
    <w:p w14:paraId="55BFE549" w14:textId="63523083" w:rsidR="00267BA3" w:rsidRPr="003B4909" w:rsidRDefault="00267BA3" w:rsidP="00A36464">
      <w:pPr>
        <w:pStyle w:val="ListParagraph"/>
      </w:pPr>
      <w:r w:rsidRPr="003B4909">
        <w:t xml:space="preserve">If new information is published please </w:t>
      </w:r>
      <w:r w:rsidRPr="00A370CF">
        <w:t xml:space="preserve">notify </w:t>
      </w:r>
      <w:r w:rsidR="00A370CF" w:rsidRPr="00A370CF">
        <w:t xml:space="preserve">the </w:t>
      </w:r>
      <w:r w:rsidR="002D5DA8">
        <w:t>Practice</w:t>
      </w:r>
      <w:r w:rsidR="00A370CF" w:rsidRPr="00A370CF">
        <w:t xml:space="preserve"> </w:t>
      </w:r>
      <w:r w:rsidR="008652EF">
        <w:t>M</w:t>
      </w:r>
      <w:r w:rsidR="00A370CF" w:rsidRPr="00A370CF">
        <w:t>anager</w:t>
      </w:r>
      <w:r w:rsidR="00523F54">
        <w:t xml:space="preserve"> </w:t>
      </w:r>
      <w:r w:rsidRPr="003B4909">
        <w:t xml:space="preserve">so that </w:t>
      </w:r>
      <w:r w:rsidR="00552481" w:rsidRPr="003B4909">
        <w:t xml:space="preserve">the </w:t>
      </w:r>
      <w:r w:rsidRPr="003B4909">
        <w:t>information can be added to the</w:t>
      </w:r>
      <w:r w:rsidR="00A370CF">
        <w:t xml:space="preserve"> </w:t>
      </w:r>
      <w:r w:rsidR="00447772">
        <w:t xml:space="preserve">list that records information within the </w:t>
      </w:r>
      <w:r w:rsidR="0088003D">
        <w:t>practice</w:t>
      </w:r>
      <w:r w:rsidRPr="003B4909">
        <w:t xml:space="preserve">. </w:t>
      </w:r>
    </w:p>
    <w:p w14:paraId="136B8040" w14:textId="77777777" w:rsidR="00B34B55" w:rsidRDefault="00B34B55" w:rsidP="009265C0">
      <w:pPr>
        <w:rPr>
          <w:rFonts w:cs="Arial"/>
        </w:rPr>
      </w:pPr>
    </w:p>
    <w:p w14:paraId="1E23C6E8" w14:textId="77777777" w:rsidR="00B34B55" w:rsidRPr="003B4909" w:rsidRDefault="00B34B55" w:rsidP="009265C0">
      <w:pPr>
        <w:rPr>
          <w:rFonts w:cs="Arial"/>
        </w:rPr>
      </w:pPr>
    </w:p>
    <w:p w14:paraId="5D9279D6" w14:textId="294D1CEA" w:rsidR="000F17E7" w:rsidRPr="003B4909" w:rsidRDefault="000F17E7" w:rsidP="00A36464">
      <w:pPr>
        <w:pStyle w:val="Heading1"/>
      </w:pPr>
      <w:bookmarkStart w:id="9" w:name="_Toc86323361"/>
      <w:r w:rsidRPr="003B4909">
        <w:t>Retention Periods for FOIA related documents</w:t>
      </w:r>
      <w:bookmarkEnd w:id="9"/>
    </w:p>
    <w:p w14:paraId="5758F27D" w14:textId="77777777" w:rsidR="000F17E7" w:rsidRPr="003B4909" w:rsidRDefault="000F17E7" w:rsidP="009265C0">
      <w:pPr>
        <w:rPr>
          <w:rFonts w:cs="Arial"/>
          <w:b/>
          <w:sz w:val="28"/>
          <w:szCs w:val="28"/>
          <w:u w:val="single"/>
        </w:rPr>
      </w:pPr>
    </w:p>
    <w:p w14:paraId="0A5B86E5" w14:textId="24E5CDFF" w:rsidR="000F17E7" w:rsidRPr="003B4909" w:rsidRDefault="009D2B3D" w:rsidP="003B4909">
      <w:pPr>
        <w:rPr>
          <w:rFonts w:cs="Arial"/>
        </w:rPr>
      </w:pPr>
      <w:r w:rsidRPr="003B4909">
        <w:rPr>
          <w:rFonts w:cs="Arial"/>
        </w:rPr>
        <w:t xml:space="preserve">The retention schedule is </w:t>
      </w:r>
      <w:r w:rsidR="003466C5">
        <w:rPr>
          <w:rFonts w:cs="Arial"/>
        </w:rPr>
        <w:t>given in</w:t>
      </w:r>
      <w:r w:rsidRPr="003B4909">
        <w:rPr>
          <w:rFonts w:cs="Arial"/>
        </w:rPr>
        <w:t xml:space="preserve"> </w:t>
      </w:r>
      <w:r w:rsidR="008652EF">
        <w:rPr>
          <w:rFonts w:cs="Arial"/>
        </w:rPr>
        <w:t xml:space="preserve">the Health and Social Care </w:t>
      </w:r>
      <w:hyperlink r:id="rId12" w:history="1">
        <w:r w:rsidR="00321F7C" w:rsidRPr="00321F7C">
          <w:rPr>
            <w:rStyle w:val="Hyperlink"/>
            <w:rFonts w:cs="Arial"/>
          </w:rPr>
          <w:t>Records Management Code of Practice</w:t>
        </w:r>
      </w:hyperlink>
      <w:r w:rsidR="00321F7C">
        <w:rPr>
          <w:rFonts w:cs="Arial"/>
        </w:rPr>
        <w:t>:</w:t>
      </w:r>
    </w:p>
    <w:p w14:paraId="7452BEBA" w14:textId="77777777" w:rsidR="009D2B3D" w:rsidRPr="003B4909" w:rsidRDefault="009D2B3D" w:rsidP="009265C0">
      <w:pPr>
        <w:rPr>
          <w:rFonts w:cs="Arial"/>
        </w:rPr>
      </w:pPr>
    </w:p>
    <w:p w14:paraId="22743B22" w14:textId="77777777" w:rsidR="009D2B3D" w:rsidRPr="003B4909" w:rsidRDefault="009D2B3D" w:rsidP="009265C0">
      <w:pPr>
        <w:rPr>
          <w:rFonts w:cs="Arial"/>
        </w:rPr>
      </w:pPr>
    </w:p>
    <w:p w14:paraId="600D57E6" w14:textId="382B29BD" w:rsidR="00F3773D" w:rsidRPr="003B4909" w:rsidRDefault="00F50E98" w:rsidP="00A36464">
      <w:pPr>
        <w:pStyle w:val="Heading1"/>
      </w:pPr>
      <w:bookmarkStart w:id="10" w:name="_Toc86323362"/>
      <w:r w:rsidRPr="003B4909">
        <w:t xml:space="preserve">Requests To and from Other </w:t>
      </w:r>
      <w:r w:rsidR="003466C5">
        <w:t>NHS Bodies</w:t>
      </w:r>
      <w:bookmarkEnd w:id="10"/>
    </w:p>
    <w:p w14:paraId="7AF1F681" w14:textId="77777777" w:rsidR="00F50E98" w:rsidRPr="003B4909" w:rsidRDefault="00F50E98" w:rsidP="009265C0">
      <w:pPr>
        <w:rPr>
          <w:rFonts w:cs="Arial"/>
          <w:b/>
          <w:sz w:val="28"/>
          <w:szCs w:val="28"/>
          <w:u w:val="single"/>
        </w:rPr>
      </w:pPr>
    </w:p>
    <w:p w14:paraId="2F8ABEE8" w14:textId="65464F15" w:rsidR="00F50E98" w:rsidRDefault="00F50E98" w:rsidP="00A36464">
      <w:pPr>
        <w:pStyle w:val="ListParagraph"/>
      </w:pPr>
      <w:r w:rsidRPr="003B4909">
        <w:t>The legislation allows any person or organisation to make a freedom of information request including</w:t>
      </w:r>
      <w:r w:rsidR="00011189" w:rsidRPr="003B4909">
        <w:t xml:space="preserve"> other</w:t>
      </w:r>
      <w:r w:rsidRPr="003B4909">
        <w:t xml:space="preserve"> </w:t>
      </w:r>
      <w:r w:rsidR="003466C5">
        <w:t>NHS bodies</w:t>
      </w:r>
      <w:r w:rsidRPr="003B4909">
        <w:t>. In practice th</w:t>
      </w:r>
      <w:r w:rsidR="009F64E0" w:rsidRPr="003B4909">
        <w:t>is</w:t>
      </w:r>
      <w:r w:rsidR="00011189" w:rsidRPr="003B4909">
        <w:t xml:space="preserve"> access </w:t>
      </w:r>
      <w:r w:rsidRPr="003B4909">
        <w:t>re</w:t>
      </w:r>
      <w:r w:rsidR="00011189" w:rsidRPr="003B4909">
        <w:t xml:space="preserve">gime is not commonly used between </w:t>
      </w:r>
      <w:r w:rsidR="00561FE6">
        <w:t>NHS bodies</w:t>
      </w:r>
      <w:r w:rsidR="009F64E0" w:rsidRPr="003B4909">
        <w:t>.</w:t>
      </w:r>
      <w:r w:rsidR="00011189" w:rsidRPr="003B4909">
        <w:t xml:space="preserve"> </w:t>
      </w:r>
      <w:r w:rsidR="009F64E0" w:rsidRPr="003B4909">
        <w:t xml:space="preserve">In a spirit of co-operation </w:t>
      </w:r>
      <w:r w:rsidR="00561FE6">
        <w:t>these</w:t>
      </w:r>
      <w:r w:rsidR="00523F54">
        <w:t xml:space="preserve"> </w:t>
      </w:r>
      <w:r w:rsidR="00A4473F" w:rsidRPr="003B4909">
        <w:t>will normally</w:t>
      </w:r>
      <w:r w:rsidR="009F64E0" w:rsidRPr="003B4909">
        <w:t xml:space="preserve"> use less formal avenues to obtain information from </w:t>
      </w:r>
      <w:r w:rsidR="00A4473F" w:rsidRPr="003B4909">
        <w:t xml:space="preserve">each </w:t>
      </w:r>
      <w:r w:rsidR="009F64E0" w:rsidRPr="003B4909">
        <w:t>other.</w:t>
      </w:r>
    </w:p>
    <w:p w14:paraId="22001496" w14:textId="77777777" w:rsidR="00A36464" w:rsidRPr="003B4909" w:rsidRDefault="00A36464" w:rsidP="00A36464">
      <w:pPr>
        <w:pStyle w:val="ListParagraph"/>
        <w:numPr>
          <w:ilvl w:val="0"/>
          <w:numId w:val="0"/>
        </w:numPr>
        <w:ind w:left="720"/>
      </w:pPr>
    </w:p>
    <w:p w14:paraId="0E15ECD2" w14:textId="1235796E" w:rsidR="00F50E98" w:rsidRDefault="00F50E98" w:rsidP="00A36464">
      <w:pPr>
        <w:pStyle w:val="ListParagraph"/>
      </w:pPr>
      <w:r w:rsidRPr="003B4909">
        <w:t>Therefore</w:t>
      </w:r>
      <w:r w:rsidR="00A36464">
        <w:t>,</w:t>
      </w:r>
      <w:r w:rsidRPr="003B4909">
        <w:t xml:space="preserve"> </w:t>
      </w:r>
      <w:r w:rsidR="00833FDA">
        <w:t xml:space="preserve">the </w:t>
      </w:r>
      <w:r w:rsidR="002D5DA8">
        <w:t>Practice</w:t>
      </w:r>
      <w:r w:rsidR="00447772">
        <w:t xml:space="preserve"> Manager </w:t>
      </w:r>
      <w:r w:rsidRPr="003B4909">
        <w:t xml:space="preserve">should avoid wherever possible using </w:t>
      </w:r>
      <w:r w:rsidR="00A4473F" w:rsidRPr="003B4909">
        <w:t xml:space="preserve">the </w:t>
      </w:r>
      <w:r w:rsidR="009F64E0" w:rsidRPr="003B4909">
        <w:t xml:space="preserve">freedom of </w:t>
      </w:r>
      <w:r w:rsidR="00A4473F" w:rsidRPr="003B4909">
        <w:t xml:space="preserve">information </w:t>
      </w:r>
      <w:r w:rsidR="009F64E0" w:rsidRPr="003B4909">
        <w:t xml:space="preserve">access </w:t>
      </w:r>
      <w:r w:rsidRPr="003B4909">
        <w:t>regime to procure information from other organisation</w:t>
      </w:r>
      <w:r w:rsidR="00011189" w:rsidRPr="003B4909">
        <w:t>s</w:t>
      </w:r>
      <w:r w:rsidRPr="003B4909">
        <w:t xml:space="preserve"> </w:t>
      </w:r>
      <w:r w:rsidR="009F64E0" w:rsidRPr="003B4909">
        <w:t xml:space="preserve">and </w:t>
      </w:r>
      <w:r w:rsidRPr="003B4909">
        <w:t xml:space="preserve">instead use </w:t>
      </w:r>
      <w:r w:rsidR="00011189" w:rsidRPr="003B4909">
        <w:t>a</w:t>
      </w:r>
      <w:r w:rsidRPr="003B4909">
        <w:t xml:space="preserve"> less formal route</w:t>
      </w:r>
      <w:r w:rsidR="009F64E0" w:rsidRPr="003B4909">
        <w:t xml:space="preserve"> in the first instance</w:t>
      </w:r>
      <w:r w:rsidRPr="003B4909">
        <w:t>.</w:t>
      </w:r>
    </w:p>
    <w:p w14:paraId="28327844" w14:textId="02EACFE1" w:rsidR="00A36464" w:rsidRPr="003B4909" w:rsidRDefault="00A36464" w:rsidP="00A36464"/>
    <w:p w14:paraId="0788B732" w14:textId="5DAEC22A" w:rsidR="007C1993" w:rsidRPr="00A36464" w:rsidRDefault="00011189" w:rsidP="00A36464">
      <w:pPr>
        <w:pStyle w:val="ListParagraph"/>
      </w:pPr>
      <w:r w:rsidRPr="003B4909">
        <w:t>Similarly</w:t>
      </w:r>
      <w:r w:rsidR="00A36464">
        <w:t>,</w:t>
      </w:r>
      <w:r w:rsidRPr="003B4909">
        <w:t xml:space="preserve"> should </w:t>
      </w:r>
      <w:r w:rsidR="0088003D">
        <w:t>practice</w:t>
      </w:r>
      <w:r w:rsidR="00447772">
        <w:t xml:space="preserve"> staff </w:t>
      </w:r>
      <w:r w:rsidRPr="003B4909">
        <w:t xml:space="preserve">receive a request from another </w:t>
      </w:r>
      <w:r w:rsidR="00561FE6">
        <w:t>public body</w:t>
      </w:r>
      <w:r w:rsidRPr="003B4909">
        <w:t xml:space="preserve"> </w:t>
      </w:r>
      <w:r w:rsidR="009F64E0" w:rsidRPr="003B4909">
        <w:t>they</w:t>
      </w:r>
      <w:r w:rsidRPr="003B4909">
        <w:t xml:space="preserve"> may wish to contact the request</w:t>
      </w:r>
      <w:r w:rsidR="009F64E0" w:rsidRPr="003B4909">
        <w:t>ing organisation</w:t>
      </w:r>
      <w:r w:rsidRPr="003B4909">
        <w:t xml:space="preserve"> to seek agreement for their request to be handled less formally, perhaps as a</w:t>
      </w:r>
      <w:r w:rsidR="00447772">
        <w:t xml:space="preserve"> </w:t>
      </w:r>
      <w:r w:rsidR="0088003D">
        <w:t>practice</w:t>
      </w:r>
      <w:r w:rsidRPr="003B4909">
        <w:t xml:space="preserve"> business as usual request. However</w:t>
      </w:r>
      <w:r w:rsidR="00A36464">
        <w:t>,</w:t>
      </w:r>
      <w:r w:rsidRPr="003B4909">
        <w:t xml:space="preserve"> the requesting </w:t>
      </w:r>
      <w:r w:rsidR="000D58E3">
        <w:t>body</w:t>
      </w:r>
      <w:r w:rsidR="00447772">
        <w:t xml:space="preserve">’s </w:t>
      </w:r>
      <w:r w:rsidR="009F64E0" w:rsidRPr="003B4909">
        <w:t>agreement is necessary.</w:t>
      </w:r>
      <w:r w:rsidRPr="003B4909">
        <w:t xml:space="preserve"> Unless they do withdraw the</w:t>
      </w:r>
      <w:r w:rsidR="00A4473F" w:rsidRPr="003B4909">
        <w:t>ir freedom of information</w:t>
      </w:r>
      <w:r w:rsidRPr="003B4909">
        <w:t xml:space="preserve"> request it must be handled under the freedom of information regime.   </w:t>
      </w:r>
    </w:p>
    <w:p w14:paraId="78905A7A" w14:textId="77777777" w:rsidR="00F50E98" w:rsidRPr="003B4909" w:rsidRDefault="00F50E98" w:rsidP="009265C0">
      <w:pPr>
        <w:rPr>
          <w:rFonts w:cs="Arial"/>
        </w:rPr>
      </w:pPr>
    </w:p>
    <w:p w14:paraId="471E46C6" w14:textId="6E137308" w:rsidR="007C1993" w:rsidRPr="00A36464" w:rsidRDefault="007C1993" w:rsidP="00A36464">
      <w:pPr>
        <w:pStyle w:val="Heading1"/>
      </w:pPr>
      <w:bookmarkStart w:id="11" w:name="_Toc86323363"/>
      <w:r w:rsidRPr="00A36464">
        <w:t>Datasets</w:t>
      </w:r>
      <w:bookmarkEnd w:id="11"/>
    </w:p>
    <w:p w14:paraId="6F8DFD82" w14:textId="77777777" w:rsidR="007C1993" w:rsidRPr="003B4909" w:rsidRDefault="007C1993" w:rsidP="007C1993">
      <w:pPr>
        <w:rPr>
          <w:rFonts w:cs="Arial"/>
          <w:b/>
          <w:sz w:val="28"/>
          <w:szCs w:val="28"/>
          <w:u w:val="single"/>
        </w:rPr>
      </w:pPr>
    </w:p>
    <w:p w14:paraId="5B8112C2" w14:textId="59CBB625" w:rsidR="007C1993" w:rsidRDefault="000D58E3" w:rsidP="000D58E3">
      <w:pPr>
        <w:pStyle w:val="ListParagraph"/>
      </w:pPr>
      <w:r>
        <w:t>The FOIA gives users the right to access data sets for reuse</w:t>
      </w:r>
      <w:r w:rsidR="007C1993" w:rsidRPr="00A36464">
        <w:t xml:space="preserve">, once </w:t>
      </w:r>
      <w:r w:rsidR="00A370CF" w:rsidRPr="00A370CF">
        <w:t xml:space="preserve">the </w:t>
      </w:r>
      <w:r w:rsidR="0088003D">
        <w:t>practice</w:t>
      </w:r>
      <w:r w:rsidR="00447772" w:rsidRPr="00A370CF">
        <w:t xml:space="preserve"> </w:t>
      </w:r>
      <w:r w:rsidR="007C1993" w:rsidRPr="00A36464">
        <w:t>has decided that no exemptions or other provisions (e.g. costs, vexatious) in the legislation apply.</w:t>
      </w:r>
    </w:p>
    <w:p w14:paraId="314F9836" w14:textId="77777777" w:rsidR="007C1993" w:rsidRDefault="007C1993" w:rsidP="00A36464">
      <w:pPr>
        <w:pStyle w:val="Default"/>
      </w:pPr>
    </w:p>
    <w:p w14:paraId="6E9F949E" w14:textId="13AFC345" w:rsidR="009F64E0" w:rsidRPr="003B4909" w:rsidRDefault="000D58E3" w:rsidP="00E7541B">
      <w:pPr>
        <w:pStyle w:val="ListParagraph"/>
        <w:rPr>
          <w:sz w:val="28"/>
          <w:szCs w:val="28"/>
        </w:rPr>
      </w:pPr>
      <w:r>
        <w:t>F</w:t>
      </w:r>
      <w:r w:rsidR="007C1993" w:rsidRPr="00A36464">
        <w:t>urther information on the obligations including what the legislation defines as a dataset can be found in the Information</w:t>
      </w:r>
      <w:r w:rsidR="007C1993" w:rsidRPr="00A36464">
        <w:rPr>
          <w:sz w:val="23"/>
          <w:szCs w:val="23"/>
        </w:rPr>
        <w:t xml:space="preserve"> Commissioner </w:t>
      </w:r>
      <w:hyperlink r:id="rId13" w:history="1">
        <w:r w:rsidR="007C1993" w:rsidRPr="00A36464">
          <w:rPr>
            <w:rStyle w:val="Hyperlink"/>
          </w:rPr>
          <w:t>guidance</w:t>
        </w:r>
      </w:hyperlink>
      <w:r w:rsidR="007C1993" w:rsidRPr="00A36464">
        <w:rPr>
          <w:sz w:val="23"/>
          <w:szCs w:val="23"/>
        </w:rPr>
        <w:t xml:space="preserve"> on Dataset</w:t>
      </w:r>
      <w:r w:rsidR="00E7541B">
        <w:rPr>
          <w:sz w:val="23"/>
          <w:szCs w:val="23"/>
        </w:rPr>
        <w:t>s.</w:t>
      </w:r>
      <w:r w:rsidR="00B80725" w:rsidRPr="003B4909">
        <w:rPr>
          <w:sz w:val="28"/>
          <w:szCs w:val="28"/>
        </w:rPr>
        <w:t xml:space="preserve">                                                                    </w:t>
      </w:r>
    </w:p>
    <w:p w14:paraId="213B989F" w14:textId="77777777" w:rsidR="007C1993" w:rsidRDefault="007C1993">
      <w:pPr>
        <w:rPr>
          <w:rFonts w:cs="Arial"/>
          <w:sz w:val="28"/>
          <w:szCs w:val="28"/>
        </w:rPr>
      </w:pPr>
      <w:r>
        <w:rPr>
          <w:rFonts w:cs="Arial"/>
          <w:sz w:val="28"/>
          <w:szCs w:val="28"/>
        </w:rPr>
        <w:br w:type="page"/>
      </w:r>
    </w:p>
    <w:p w14:paraId="361545C3" w14:textId="00A06217" w:rsidR="00F3773D" w:rsidRPr="00A36464" w:rsidRDefault="00111850" w:rsidP="00A36464">
      <w:pPr>
        <w:pStyle w:val="Appendix"/>
      </w:pPr>
      <w:bookmarkStart w:id="12" w:name="_Toc86323364"/>
      <w:r w:rsidRPr="00A36464">
        <w:lastRenderedPageBreak/>
        <w:t>Categories of r</w:t>
      </w:r>
      <w:r w:rsidR="00F3773D" w:rsidRPr="00A36464">
        <w:t xml:space="preserve">equests </w:t>
      </w:r>
      <w:r w:rsidRPr="00A36464">
        <w:t>where you should consult the</w:t>
      </w:r>
      <w:r w:rsidR="00F3773D" w:rsidRPr="00A36464">
        <w:t xml:space="preserve"> </w:t>
      </w:r>
      <w:r w:rsidR="00EF0465">
        <w:t>DPO</w:t>
      </w:r>
      <w:bookmarkEnd w:id="12"/>
    </w:p>
    <w:p w14:paraId="692216A4" w14:textId="77777777" w:rsidR="00F3773D" w:rsidRPr="003B4909" w:rsidRDefault="00F3773D" w:rsidP="00F3773D">
      <w:pPr>
        <w:rPr>
          <w:rFonts w:cs="Arial"/>
          <w:color w:val="1F497D"/>
        </w:rPr>
      </w:pPr>
    </w:p>
    <w:p w14:paraId="5BCB7262" w14:textId="6C6FF386" w:rsidR="004D01F2" w:rsidRPr="00A370CF" w:rsidRDefault="004D01F2" w:rsidP="00F3773D">
      <w:pPr>
        <w:rPr>
          <w:rFonts w:cs="Arial"/>
        </w:rPr>
      </w:pPr>
      <w:r w:rsidRPr="003B4909">
        <w:rPr>
          <w:rFonts w:cs="Arial"/>
        </w:rPr>
        <w:t xml:space="preserve">The following illustrate examples of requests that should be referred to the </w:t>
      </w:r>
      <w:r w:rsidR="00EF0465">
        <w:rPr>
          <w:rFonts w:cs="Arial"/>
        </w:rPr>
        <w:t>DPO</w:t>
      </w:r>
    </w:p>
    <w:p w14:paraId="26F00D84" w14:textId="77777777" w:rsidR="00F3773D" w:rsidRPr="003B4909" w:rsidRDefault="00F3773D" w:rsidP="00F3773D">
      <w:pPr>
        <w:rPr>
          <w:rFonts w:cs="Arial"/>
          <w:color w:val="1F497D"/>
        </w:rPr>
      </w:pPr>
    </w:p>
    <w:p w14:paraId="5337E856" w14:textId="551A66CC" w:rsidR="00F3773D" w:rsidRPr="0035267C" w:rsidRDefault="00F3773D" w:rsidP="00F3773D">
      <w:pPr>
        <w:pStyle w:val="ListParagraph"/>
        <w:numPr>
          <w:ilvl w:val="0"/>
          <w:numId w:val="40"/>
        </w:numPr>
      </w:pPr>
      <w:r w:rsidRPr="0035267C">
        <w:t xml:space="preserve">Requests </w:t>
      </w:r>
      <w:r w:rsidR="007A7D02" w:rsidRPr="0035267C">
        <w:t>relating to</w:t>
      </w:r>
      <w:r w:rsidRPr="0035267C">
        <w:t xml:space="preserve"> </w:t>
      </w:r>
      <w:r w:rsidR="0088003D" w:rsidRPr="0035267C">
        <w:t>practice</w:t>
      </w:r>
      <w:r w:rsidR="00FE14E4" w:rsidRPr="0035267C">
        <w:t xml:space="preserve"> </w:t>
      </w:r>
      <w:r w:rsidR="007A7D02" w:rsidRPr="0035267C">
        <w:t>expenditure</w:t>
      </w:r>
      <w:r w:rsidR="00EF0465" w:rsidRPr="0035267C">
        <w:t xml:space="preserve"> which is not already published</w:t>
      </w:r>
      <w:r w:rsidR="007A7D02" w:rsidRPr="0035267C">
        <w:t>;</w:t>
      </w:r>
    </w:p>
    <w:p w14:paraId="7D6DA839" w14:textId="187869C6" w:rsidR="00F3773D" w:rsidRPr="0035267C" w:rsidRDefault="00F3773D" w:rsidP="00F3773D">
      <w:pPr>
        <w:pStyle w:val="ListParagraph"/>
        <w:numPr>
          <w:ilvl w:val="0"/>
          <w:numId w:val="40"/>
        </w:numPr>
      </w:pPr>
      <w:r w:rsidRPr="0035267C">
        <w:t xml:space="preserve">Requests regarding any legal prosecution with </w:t>
      </w:r>
      <w:r w:rsidR="0088003D" w:rsidRPr="0035267C">
        <w:t>practice</w:t>
      </w:r>
      <w:r w:rsidR="00FE14E4" w:rsidRPr="0035267C">
        <w:t xml:space="preserve"> </w:t>
      </w:r>
      <w:r w:rsidRPr="0035267C">
        <w:t>involvement past</w:t>
      </w:r>
      <w:r w:rsidR="00A370CF" w:rsidRPr="0035267C">
        <w:t>,</w:t>
      </w:r>
      <w:r w:rsidRPr="0035267C">
        <w:t xml:space="preserve"> present or future;</w:t>
      </w:r>
    </w:p>
    <w:p w14:paraId="5821A6B6" w14:textId="441255F0" w:rsidR="002A3E4E" w:rsidRPr="0035267C" w:rsidRDefault="00F3773D" w:rsidP="00F3773D">
      <w:pPr>
        <w:pStyle w:val="ListParagraph"/>
        <w:numPr>
          <w:ilvl w:val="0"/>
          <w:numId w:val="40"/>
        </w:numPr>
      </w:pPr>
      <w:r w:rsidRPr="0035267C">
        <w:t>Requ</w:t>
      </w:r>
      <w:r w:rsidR="00A370CF" w:rsidRPr="0035267C">
        <w:t>e</w:t>
      </w:r>
      <w:r w:rsidRPr="0035267C">
        <w:t xml:space="preserve">sts relating to </w:t>
      </w:r>
      <w:r w:rsidR="007A7D02" w:rsidRPr="0035267C">
        <w:t xml:space="preserve">deceased </w:t>
      </w:r>
      <w:r w:rsidR="00A370CF" w:rsidRPr="0035267C">
        <w:t>persons</w:t>
      </w:r>
      <w:r w:rsidR="0035267C">
        <w:t xml:space="preserve"> where the requester does not have a claim on the estate</w:t>
      </w:r>
      <w:r w:rsidR="007A7D02" w:rsidRPr="0035267C">
        <w:t>;</w:t>
      </w:r>
    </w:p>
    <w:p w14:paraId="5AA13014" w14:textId="427CEE2F" w:rsidR="007A7D02" w:rsidRPr="0035267C" w:rsidRDefault="002A3E4E" w:rsidP="00F3773D">
      <w:pPr>
        <w:pStyle w:val="ListParagraph"/>
        <w:numPr>
          <w:ilvl w:val="0"/>
          <w:numId w:val="40"/>
        </w:numPr>
      </w:pPr>
      <w:r w:rsidRPr="0035267C">
        <w:t xml:space="preserve">Requests relating to services provided by the </w:t>
      </w:r>
      <w:r w:rsidR="0035267C" w:rsidRPr="0035267C">
        <w:t xml:space="preserve">NHS, CCG/ICS </w:t>
      </w:r>
    </w:p>
    <w:p w14:paraId="74BE57A3" w14:textId="550A6BA2" w:rsidR="00F3773D" w:rsidRPr="0035267C" w:rsidRDefault="007A7D02" w:rsidP="0035267C">
      <w:pPr>
        <w:pStyle w:val="ListParagraph"/>
        <w:numPr>
          <w:ilvl w:val="0"/>
          <w:numId w:val="40"/>
        </w:numPr>
      </w:pPr>
      <w:r w:rsidRPr="0035267C">
        <w:t xml:space="preserve">Requests relating to </w:t>
      </w:r>
      <w:r w:rsidR="00561BC9" w:rsidRPr="0035267C">
        <w:t>workforce pay, sickness absence</w:t>
      </w:r>
      <w:r w:rsidR="002A3E4E" w:rsidRPr="0035267C">
        <w:t xml:space="preserve"> or personal details;</w:t>
      </w:r>
    </w:p>
    <w:p w14:paraId="45350964" w14:textId="77777777" w:rsidR="007A7D02" w:rsidRPr="003B4909" w:rsidRDefault="007A7D02" w:rsidP="00F3773D">
      <w:pPr>
        <w:rPr>
          <w:rFonts w:cs="Arial"/>
        </w:rPr>
      </w:pPr>
    </w:p>
    <w:p w14:paraId="180E2ADA" w14:textId="7AFD5361" w:rsidR="00F3773D" w:rsidRDefault="00F3773D" w:rsidP="009265C0">
      <w:pPr>
        <w:rPr>
          <w:rFonts w:cs="Arial"/>
        </w:rPr>
      </w:pPr>
    </w:p>
    <w:p w14:paraId="6374BAC7" w14:textId="31C38F24" w:rsidR="00561BC9" w:rsidRPr="003B4909" w:rsidRDefault="00561BC9" w:rsidP="009265C0">
      <w:pPr>
        <w:rPr>
          <w:rFonts w:cs="Arial"/>
        </w:rPr>
      </w:pPr>
      <w:r>
        <w:rPr>
          <w:rFonts w:cs="Arial"/>
        </w:rPr>
        <w:t>This list is not exhaustive</w:t>
      </w:r>
    </w:p>
    <w:p w14:paraId="112E1985" w14:textId="30329080" w:rsidR="00B80725" w:rsidRPr="00A36464" w:rsidRDefault="007C1993" w:rsidP="00A36464">
      <w:pPr>
        <w:pStyle w:val="Appendix"/>
      </w:pPr>
      <w:r>
        <w:br w:type="page"/>
      </w:r>
      <w:bookmarkStart w:id="13" w:name="_Toc86323365"/>
      <w:r w:rsidR="00B80725" w:rsidRPr="003B4909">
        <w:lastRenderedPageBreak/>
        <w:t xml:space="preserve">Re-use of </w:t>
      </w:r>
      <w:r w:rsidR="0088003D">
        <w:t>practice</w:t>
      </w:r>
      <w:r w:rsidR="00FE14E4">
        <w:t xml:space="preserve"> </w:t>
      </w:r>
      <w:r w:rsidR="00B80725" w:rsidRPr="003B4909">
        <w:t>information and copyright</w:t>
      </w:r>
      <w:bookmarkEnd w:id="13"/>
      <w:r w:rsidR="00B80725" w:rsidRPr="003B4909">
        <w:t xml:space="preserve"> </w:t>
      </w:r>
    </w:p>
    <w:p w14:paraId="3095B031" w14:textId="77777777" w:rsidR="00B80725" w:rsidRPr="003B4909" w:rsidRDefault="00B80725" w:rsidP="00B80725">
      <w:pPr>
        <w:rPr>
          <w:rFonts w:cs="Arial"/>
          <w:b/>
        </w:rPr>
      </w:pPr>
    </w:p>
    <w:p w14:paraId="79950AD2" w14:textId="068B982B" w:rsidR="00B80725" w:rsidRPr="003B4909" w:rsidRDefault="00B80725" w:rsidP="00B80725">
      <w:pPr>
        <w:rPr>
          <w:rFonts w:cs="Arial"/>
        </w:rPr>
      </w:pPr>
      <w:r w:rsidRPr="003B4909">
        <w:rPr>
          <w:rFonts w:cs="Arial"/>
        </w:rPr>
        <w:t xml:space="preserve">Unless otherwise stated, the </w:t>
      </w:r>
      <w:r w:rsidR="004B5020">
        <w:rPr>
          <w:rFonts w:cs="Arial"/>
        </w:rPr>
        <w:t>practice</w:t>
      </w:r>
      <w:r w:rsidRPr="003B4909">
        <w:rPr>
          <w:rFonts w:cs="Arial"/>
        </w:rPr>
        <w:t xml:space="preserve"> owns the copyright in all material </w:t>
      </w:r>
      <w:r w:rsidR="00A370CF">
        <w:rPr>
          <w:rFonts w:cs="Arial"/>
        </w:rPr>
        <w:t>on their website</w:t>
      </w:r>
      <w:r w:rsidRPr="00E23043">
        <w:rPr>
          <w:rFonts w:cs="Arial"/>
        </w:rPr>
        <w:t xml:space="preserve"> </w:t>
      </w:r>
      <w:r w:rsidRPr="003B4909">
        <w:rPr>
          <w:rFonts w:cs="Arial"/>
        </w:rPr>
        <w:t>and any information contained in responses to request for information made under Freedom of Information or Environmental Information Regulations.</w:t>
      </w:r>
    </w:p>
    <w:p w14:paraId="65CD19A1" w14:textId="77777777" w:rsidR="00B80725" w:rsidRPr="003B4909" w:rsidRDefault="00B80725" w:rsidP="00B80725">
      <w:pPr>
        <w:rPr>
          <w:rFonts w:cs="Arial"/>
        </w:rPr>
      </w:pPr>
    </w:p>
    <w:p w14:paraId="085D16F9" w14:textId="2B83FF2C" w:rsidR="00B80725" w:rsidRPr="003B4909" w:rsidRDefault="00B80725" w:rsidP="00B80725">
      <w:pPr>
        <w:rPr>
          <w:rFonts w:cs="Arial"/>
        </w:rPr>
      </w:pPr>
      <w:r w:rsidRPr="003B4909">
        <w:rPr>
          <w:rFonts w:cs="Arial"/>
        </w:rPr>
        <w:t xml:space="preserve">Subject to the following conditions, the </w:t>
      </w:r>
      <w:r w:rsidR="004B5020">
        <w:rPr>
          <w:rFonts w:cs="Arial"/>
        </w:rPr>
        <w:t>practice</w:t>
      </w:r>
      <w:r w:rsidR="00E23043">
        <w:rPr>
          <w:rFonts w:cs="Arial"/>
        </w:rPr>
        <w:t xml:space="preserve"> </w:t>
      </w:r>
      <w:r w:rsidRPr="003B4909">
        <w:rPr>
          <w:rFonts w:cs="Arial"/>
        </w:rPr>
        <w:t xml:space="preserve">has no objection to organisations reusing its copyright-protected materials (the 'Materials') and reproducing them in their own publications, or on their internal computer networks. Organisations using the </w:t>
      </w:r>
      <w:r w:rsidR="004B5020">
        <w:rPr>
          <w:rFonts w:cs="Arial"/>
        </w:rPr>
        <w:t>practice</w:t>
      </w:r>
      <w:r w:rsidR="00E23043">
        <w:rPr>
          <w:rFonts w:cs="Arial"/>
        </w:rPr>
        <w:t xml:space="preserve">’s </w:t>
      </w:r>
      <w:r w:rsidRPr="003B4909">
        <w:rPr>
          <w:rFonts w:cs="Arial"/>
        </w:rPr>
        <w:t>materials must adhere to the following criteria:</w:t>
      </w:r>
    </w:p>
    <w:p w14:paraId="76470DFE" w14:textId="77777777" w:rsidR="00B80725" w:rsidRPr="003B4909" w:rsidRDefault="00B80725" w:rsidP="00B80725">
      <w:pPr>
        <w:rPr>
          <w:rFonts w:cs="Arial"/>
        </w:rPr>
      </w:pPr>
      <w:r w:rsidRPr="003B4909">
        <w:rPr>
          <w:rFonts w:cs="Arial"/>
        </w:rPr>
        <w:t xml:space="preserve"> </w:t>
      </w:r>
    </w:p>
    <w:p w14:paraId="1EF0CAAD" w14:textId="31C0A1A5" w:rsidR="00B80725" w:rsidRPr="003B4909" w:rsidRDefault="00B80725" w:rsidP="00B80725">
      <w:pPr>
        <w:rPr>
          <w:rFonts w:cs="Arial"/>
        </w:rPr>
      </w:pPr>
      <w:r w:rsidRPr="003B4909">
        <w:rPr>
          <w:rFonts w:cs="Arial"/>
        </w:rPr>
        <w:t>•</w:t>
      </w:r>
      <w:r w:rsidRPr="003B4909">
        <w:rPr>
          <w:rFonts w:cs="Arial"/>
        </w:rPr>
        <w:tab/>
        <w:t xml:space="preserve">Any publication or internal network which incorporates the </w:t>
      </w:r>
      <w:r w:rsidR="004B5020">
        <w:rPr>
          <w:rFonts w:cs="Arial"/>
        </w:rPr>
        <w:t>practice</w:t>
      </w:r>
      <w:r w:rsidR="00E23043">
        <w:rPr>
          <w:rFonts w:cs="Arial"/>
        </w:rPr>
        <w:t xml:space="preserve"> </w:t>
      </w:r>
      <w:r w:rsidRPr="003B4909">
        <w:rPr>
          <w:rFonts w:cs="Arial"/>
        </w:rPr>
        <w:t xml:space="preserve">Materials must include an acknowledgement of the source of such materials. </w:t>
      </w:r>
    </w:p>
    <w:p w14:paraId="169C1D00" w14:textId="77777777" w:rsidR="00B80725" w:rsidRPr="003B4909" w:rsidRDefault="00B80725" w:rsidP="00B80725">
      <w:pPr>
        <w:rPr>
          <w:rFonts w:cs="Arial"/>
        </w:rPr>
      </w:pPr>
    </w:p>
    <w:p w14:paraId="7E114DC8" w14:textId="77777777" w:rsidR="00B80725" w:rsidRPr="003B4909" w:rsidRDefault="00B80725" w:rsidP="00B80725">
      <w:pPr>
        <w:rPr>
          <w:rFonts w:cs="Arial"/>
        </w:rPr>
      </w:pPr>
      <w:r w:rsidRPr="003B4909">
        <w:rPr>
          <w:rFonts w:cs="Arial"/>
        </w:rPr>
        <w:t>•</w:t>
      </w:r>
      <w:r w:rsidRPr="003B4909">
        <w:rPr>
          <w:rFonts w:cs="Arial"/>
        </w:rPr>
        <w:tab/>
        <w:t>The Material must be clearly separated from any comment made on it by the organisation or others.</w:t>
      </w:r>
    </w:p>
    <w:p w14:paraId="78E1E81D" w14:textId="77777777" w:rsidR="00B80725" w:rsidRPr="003B4909" w:rsidRDefault="00B80725" w:rsidP="00B80725">
      <w:pPr>
        <w:rPr>
          <w:rFonts w:cs="Arial"/>
        </w:rPr>
      </w:pPr>
      <w:r w:rsidRPr="003B4909">
        <w:rPr>
          <w:rFonts w:cs="Arial"/>
        </w:rPr>
        <w:t xml:space="preserve"> </w:t>
      </w:r>
    </w:p>
    <w:p w14:paraId="0D92A77C" w14:textId="720C4DD6" w:rsidR="00B80725" w:rsidRPr="003B4909" w:rsidRDefault="00B80725" w:rsidP="00B80725">
      <w:pPr>
        <w:rPr>
          <w:rFonts w:cs="Arial"/>
        </w:rPr>
      </w:pPr>
      <w:r w:rsidRPr="003B4909">
        <w:rPr>
          <w:rFonts w:cs="Arial"/>
        </w:rPr>
        <w:t>•</w:t>
      </w:r>
      <w:r w:rsidRPr="003B4909">
        <w:rPr>
          <w:rFonts w:cs="Arial"/>
        </w:rPr>
        <w:tab/>
        <w:t xml:space="preserve">Readers of the Material must not be given the impression that the </w:t>
      </w:r>
      <w:r w:rsidR="004B5020">
        <w:rPr>
          <w:rFonts w:cs="Arial"/>
        </w:rPr>
        <w:t>practice</w:t>
      </w:r>
      <w:r w:rsidR="00E23043">
        <w:rPr>
          <w:rFonts w:cs="Arial"/>
        </w:rPr>
        <w:t xml:space="preserve"> </w:t>
      </w:r>
      <w:r w:rsidRPr="003B4909">
        <w:rPr>
          <w:rFonts w:cs="Arial"/>
        </w:rPr>
        <w:t xml:space="preserve">is responsible for, or has in any way approved, the publication or network in which his Materials are reproduced. </w:t>
      </w:r>
    </w:p>
    <w:p w14:paraId="4E2FF8C4" w14:textId="77777777" w:rsidR="00B80725" w:rsidRPr="003B4909" w:rsidRDefault="00B80725" w:rsidP="00B80725">
      <w:pPr>
        <w:rPr>
          <w:rFonts w:cs="Arial"/>
        </w:rPr>
      </w:pPr>
    </w:p>
    <w:p w14:paraId="2167644D" w14:textId="77777777" w:rsidR="00B80725" w:rsidRPr="003B4909" w:rsidRDefault="00B80725" w:rsidP="00B80725">
      <w:pPr>
        <w:rPr>
          <w:rFonts w:cs="Arial"/>
        </w:rPr>
      </w:pPr>
      <w:r w:rsidRPr="003B4909">
        <w:rPr>
          <w:rFonts w:cs="Arial"/>
        </w:rPr>
        <w:t>•</w:t>
      </w:r>
      <w:r w:rsidRPr="003B4909">
        <w:rPr>
          <w:rFonts w:cs="Arial"/>
        </w:rPr>
        <w:tab/>
        <w:t xml:space="preserve">The Materials may not be altered or amended unless such material is clearly marked as altered or amended by the organisation or others. </w:t>
      </w:r>
    </w:p>
    <w:p w14:paraId="167FA36F" w14:textId="77777777" w:rsidR="00B80725" w:rsidRPr="003B4909" w:rsidRDefault="00B80725" w:rsidP="00B80725">
      <w:pPr>
        <w:rPr>
          <w:rFonts w:cs="Arial"/>
        </w:rPr>
      </w:pPr>
    </w:p>
    <w:p w14:paraId="39AD9B69" w14:textId="3DBD417D" w:rsidR="00B80725" w:rsidRPr="003B4909" w:rsidRDefault="00B80725" w:rsidP="00B80725">
      <w:pPr>
        <w:rPr>
          <w:rFonts w:cs="Arial"/>
        </w:rPr>
      </w:pPr>
      <w:r w:rsidRPr="003B4909">
        <w:rPr>
          <w:rFonts w:cs="Arial"/>
        </w:rPr>
        <w:t>•</w:t>
      </w:r>
      <w:r w:rsidRPr="003B4909">
        <w:rPr>
          <w:rFonts w:cs="Arial"/>
        </w:rPr>
        <w:tab/>
        <w:t xml:space="preserve">No fee may be charged by any organisation reproducing the </w:t>
      </w:r>
      <w:r w:rsidR="004B5020">
        <w:rPr>
          <w:rFonts w:cs="Arial"/>
        </w:rPr>
        <w:t>practice</w:t>
      </w:r>
      <w:r w:rsidR="00E23043">
        <w:rPr>
          <w:rFonts w:cs="Arial"/>
        </w:rPr>
        <w:t xml:space="preserve">’s </w:t>
      </w:r>
      <w:r w:rsidRPr="003B4909">
        <w:rPr>
          <w:rFonts w:cs="Arial"/>
        </w:rPr>
        <w:t xml:space="preserve">Materials in respect of reproducing Materials. </w:t>
      </w:r>
    </w:p>
    <w:p w14:paraId="542FECED" w14:textId="77777777" w:rsidR="00B80725" w:rsidRPr="003B4909" w:rsidRDefault="00B80725" w:rsidP="00B80725">
      <w:pPr>
        <w:rPr>
          <w:rFonts w:cs="Arial"/>
        </w:rPr>
      </w:pPr>
    </w:p>
    <w:p w14:paraId="4DA11B82" w14:textId="592E1CCE" w:rsidR="00B80725" w:rsidRPr="003B4909" w:rsidRDefault="00B80725" w:rsidP="00B80725">
      <w:pPr>
        <w:rPr>
          <w:rFonts w:cs="Arial"/>
        </w:rPr>
      </w:pPr>
      <w:r w:rsidRPr="003B4909">
        <w:rPr>
          <w:rFonts w:cs="Arial"/>
        </w:rPr>
        <w:t>•</w:t>
      </w:r>
      <w:r w:rsidRPr="003B4909">
        <w:rPr>
          <w:rFonts w:cs="Arial"/>
        </w:rPr>
        <w:tab/>
        <w:t xml:space="preserve">When reproducing the </w:t>
      </w:r>
      <w:r w:rsidR="004B5020">
        <w:rPr>
          <w:rFonts w:cs="Arial"/>
        </w:rPr>
        <w:t>practice</w:t>
      </w:r>
      <w:r w:rsidR="00E23043">
        <w:rPr>
          <w:rFonts w:cs="Arial"/>
        </w:rPr>
        <w:t xml:space="preserve">’s </w:t>
      </w:r>
      <w:r w:rsidRPr="003B4909">
        <w:rPr>
          <w:rFonts w:cs="Arial"/>
        </w:rPr>
        <w:t>Materials, organisations must have regard to any qualifying statements or descriptions attached to the Materials, (for example, descriptions su</w:t>
      </w:r>
      <w:r w:rsidR="009C1F6E">
        <w:rPr>
          <w:rFonts w:cs="Arial"/>
        </w:rPr>
        <w:t xml:space="preserve">ch as 'consultation document', </w:t>
      </w:r>
      <w:r w:rsidRPr="003B4909">
        <w:rPr>
          <w:rFonts w:cs="Arial"/>
        </w:rPr>
        <w:t xml:space="preserve">are important as are statements concerning the audience at which the Material is directed). If the Material is reproduced in full, or substantial extracts are reproduced, any qualifying statements attached to the Material must be included. </w:t>
      </w:r>
    </w:p>
    <w:p w14:paraId="38A93B25" w14:textId="77777777" w:rsidR="00B80725" w:rsidRPr="003B4909" w:rsidRDefault="00B80725" w:rsidP="00B80725">
      <w:pPr>
        <w:rPr>
          <w:rFonts w:cs="Arial"/>
        </w:rPr>
      </w:pPr>
    </w:p>
    <w:p w14:paraId="4F4ECA04" w14:textId="77777777" w:rsidR="00B80725" w:rsidRPr="003B4909" w:rsidRDefault="00B80725" w:rsidP="00B80725">
      <w:pPr>
        <w:rPr>
          <w:rFonts w:cs="Arial"/>
        </w:rPr>
      </w:pPr>
      <w:r w:rsidRPr="003B4909">
        <w:rPr>
          <w:rFonts w:cs="Arial"/>
        </w:rPr>
        <w:t>•</w:t>
      </w:r>
      <w:r w:rsidRPr="003B4909">
        <w:rPr>
          <w:rFonts w:cs="Arial"/>
        </w:rPr>
        <w:tab/>
        <w:t>There is no charge for the reproduction of Materials made in accordance with these conditions.</w:t>
      </w:r>
    </w:p>
    <w:p w14:paraId="1CA8D18C" w14:textId="77777777" w:rsidR="00B80725" w:rsidRPr="003B4909" w:rsidRDefault="00B80725" w:rsidP="00B80725">
      <w:pPr>
        <w:rPr>
          <w:rFonts w:cs="Arial"/>
        </w:rPr>
      </w:pPr>
      <w:r w:rsidRPr="003B4909">
        <w:rPr>
          <w:rFonts w:cs="Arial"/>
        </w:rPr>
        <w:t xml:space="preserve"> </w:t>
      </w:r>
    </w:p>
    <w:p w14:paraId="137BB663" w14:textId="6EC7C985" w:rsidR="00B80725" w:rsidRPr="00EF28D9" w:rsidRDefault="00B80725" w:rsidP="00B80725">
      <w:pPr>
        <w:rPr>
          <w:rFonts w:cs="Arial"/>
        </w:rPr>
      </w:pPr>
      <w:r w:rsidRPr="00EF28D9">
        <w:rPr>
          <w:rFonts w:cs="Arial"/>
        </w:rPr>
        <w:t xml:space="preserve">The Re-use of Public Sector Information Regulations 2005 provided a framework for deciding issues relating to the re-use of information held by </w:t>
      </w:r>
      <w:r w:rsidRPr="00A370CF">
        <w:rPr>
          <w:rFonts w:cs="Arial"/>
        </w:rPr>
        <w:t>public bodies</w:t>
      </w:r>
      <w:r w:rsidRPr="00EF28D9">
        <w:rPr>
          <w:rFonts w:cs="Arial"/>
        </w:rPr>
        <w:t>. Subject to the conditions set out above, the</w:t>
      </w:r>
      <w:r w:rsidR="00EF28D9">
        <w:rPr>
          <w:rFonts w:cs="Arial"/>
        </w:rPr>
        <w:t xml:space="preserve"> </w:t>
      </w:r>
      <w:r w:rsidR="004B5020">
        <w:rPr>
          <w:rFonts w:cs="Arial"/>
        </w:rPr>
        <w:t>practice</w:t>
      </w:r>
      <w:r w:rsidR="00A370CF">
        <w:rPr>
          <w:rFonts w:cs="Arial"/>
        </w:rPr>
        <w:t xml:space="preserve"> </w:t>
      </w:r>
      <w:r w:rsidRPr="00EF28D9">
        <w:rPr>
          <w:rFonts w:cs="Arial"/>
        </w:rPr>
        <w:t>has no objection to organisations reproducing the Materials made available.</w:t>
      </w:r>
    </w:p>
    <w:p w14:paraId="0C10B53B" w14:textId="77777777" w:rsidR="00B80725" w:rsidRPr="003B4909" w:rsidRDefault="00B80725" w:rsidP="00B80725">
      <w:pPr>
        <w:rPr>
          <w:rFonts w:cs="Arial"/>
        </w:rPr>
      </w:pPr>
    </w:p>
    <w:p w14:paraId="780553EC" w14:textId="592A9587" w:rsidR="00B80725" w:rsidRPr="003B4909" w:rsidRDefault="00B80725" w:rsidP="00B80725">
      <w:pPr>
        <w:rPr>
          <w:rFonts w:cs="Arial"/>
        </w:rPr>
      </w:pPr>
      <w:r w:rsidRPr="003B4909">
        <w:rPr>
          <w:rFonts w:cs="Arial"/>
        </w:rPr>
        <w:t xml:space="preserve">Where an organisation wishes to re-use the </w:t>
      </w:r>
      <w:r w:rsidR="004B5020">
        <w:rPr>
          <w:rFonts w:cs="Arial"/>
        </w:rPr>
        <w:t>practice</w:t>
      </w:r>
      <w:r w:rsidR="00E23043">
        <w:rPr>
          <w:rFonts w:cs="Arial"/>
        </w:rPr>
        <w:t>’s</w:t>
      </w:r>
      <w:r w:rsidRPr="003B4909">
        <w:rPr>
          <w:rFonts w:cs="Arial"/>
        </w:rPr>
        <w:t xml:space="preserve"> </w:t>
      </w:r>
      <w:r w:rsidR="009C1F6E" w:rsidRPr="003B4909">
        <w:rPr>
          <w:rFonts w:cs="Arial"/>
        </w:rPr>
        <w:t>Materials,</w:t>
      </w:r>
      <w:r w:rsidRPr="003B4909">
        <w:rPr>
          <w:rFonts w:cs="Arial"/>
        </w:rPr>
        <w:t xml:space="preserve"> but the proposed re-use would contravene any of the conditions set out above, the organisation should contact the </w:t>
      </w:r>
      <w:r w:rsidR="002D5DA8">
        <w:rPr>
          <w:rFonts w:cs="Arial"/>
        </w:rPr>
        <w:t>Practice</w:t>
      </w:r>
      <w:r w:rsidR="00E23043">
        <w:rPr>
          <w:rFonts w:cs="Arial"/>
        </w:rPr>
        <w:t xml:space="preserve"> Manager </w:t>
      </w:r>
      <w:r w:rsidRPr="003B4909">
        <w:rPr>
          <w:rFonts w:cs="Arial"/>
        </w:rPr>
        <w:t xml:space="preserve">to determine whether the proposed re-use would be permitted and what, </w:t>
      </w:r>
      <w:proofErr w:type="spellStart"/>
      <w:r w:rsidRPr="003B4909">
        <w:rPr>
          <w:rFonts w:cs="Arial"/>
        </w:rPr>
        <w:t>of</w:t>
      </w:r>
      <w:proofErr w:type="spellEnd"/>
      <w:r w:rsidRPr="003B4909">
        <w:rPr>
          <w:rFonts w:cs="Arial"/>
        </w:rPr>
        <w:t xml:space="preserve"> any, additional conditions </w:t>
      </w:r>
      <w:r w:rsidRPr="003B4909">
        <w:rPr>
          <w:rFonts w:cs="Arial"/>
        </w:rPr>
        <w:lastRenderedPageBreak/>
        <w:t xml:space="preserve">may apply. The application should be in writing, specifying name and address of the applicant, identifying the documents to be re-used and the purpose for re-use. </w:t>
      </w:r>
    </w:p>
    <w:p w14:paraId="74460A31" w14:textId="3F636B3B" w:rsidR="00E23043" w:rsidRPr="00961E58" w:rsidRDefault="00B80725" w:rsidP="00A370CF">
      <w:pPr>
        <w:rPr>
          <w:rFonts w:cs="Arial"/>
          <w:i/>
          <w:color w:val="FF0000"/>
        </w:rPr>
      </w:pPr>
      <w:r w:rsidRPr="003B4909">
        <w:rPr>
          <w:rFonts w:cs="Arial"/>
        </w:rPr>
        <w:t xml:space="preserve">If an individual or organisation is unhappy with the manner in which an application for the reproduction or the re-use of the </w:t>
      </w:r>
      <w:r w:rsidR="004B5020">
        <w:rPr>
          <w:rFonts w:cs="Arial"/>
        </w:rPr>
        <w:t>practice</w:t>
      </w:r>
      <w:r w:rsidR="00E23043">
        <w:rPr>
          <w:rFonts w:cs="Arial"/>
        </w:rPr>
        <w:t xml:space="preserve">’s </w:t>
      </w:r>
      <w:r w:rsidRPr="003B4909">
        <w:rPr>
          <w:rFonts w:cs="Arial"/>
        </w:rPr>
        <w:t>Materials has been handled by the</w:t>
      </w:r>
      <w:r w:rsidR="00EF28D9">
        <w:rPr>
          <w:rFonts w:cs="Arial"/>
        </w:rPr>
        <w:t xml:space="preserve"> </w:t>
      </w:r>
      <w:r w:rsidR="0088003D">
        <w:rPr>
          <w:rFonts w:cs="Arial"/>
        </w:rPr>
        <w:t>practice</w:t>
      </w:r>
      <w:r w:rsidRPr="003B4909">
        <w:rPr>
          <w:rFonts w:cs="Arial"/>
        </w:rPr>
        <w:t>, a complaint should be made in writing to</w:t>
      </w:r>
      <w:r w:rsidR="00A370CF">
        <w:rPr>
          <w:rFonts w:cs="Arial"/>
        </w:rPr>
        <w:t xml:space="preserve"> the </w:t>
      </w:r>
      <w:r w:rsidR="0088003D">
        <w:rPr>
          <w:rFonts w:cs="Arial"/>
        </w:rPr>
        <w:t>practice</w:t>
      </w:r>
      <w:r w:rsidR="00A370CF">
        <w:rPr>
          <w:rFonts w:cs="Arial"/>
        </w:rPr>
        <w:t>.</w:t>
      </w:r>
    </w:p>
    <w:p w14:paraId="041EB0A7" w14:textId="77777777" w:rsidR="00856EE1" w:rsidRPr="003B4909" w:rsidRDefault="00856EE1" w:rsidP="00856EE1">
      <w:pPr>
        <w:jc w:val="right"/>
        <w:rPr>
          <w:rFonts w:cs="Arial"/>
        </w:rPr>
      </w:pPr>
    </w:p>
    <w:p w14:paraId="0316B87C" w14:textId="1CB719C4" w:rsidR="00A36464" w:rsidRDefault="00A36464">
      <w:pPr>
        <w:rPr>
          <w:rFonts w:cs="Arial"/>
          <w:b/>
          <w:sz w:val="28"/>
          <w:szCs w:val="28"/>
        </w:rPr>
      </w:pPr>
      <w:r>
        <w:rPr>
          <w:rFonts w:cs="Arial"/>
          <w:b/>
          <w:sz w:val="28"/>
          <w:szCs w:val="28"/>
        </w:rPr>
        <w:br w:type="page"/>
      </w:r>
    </w:p>
    <w:p w14:paraId="37642CC6" w14:textId="77777777" w:rsidR="007C1993" w:rsidRDefault="007C1993">
      <w:pPr>
        <w:rPr>
          <w:rFonts w:cs="Arial"/>
          <w:b/>
          <w:sz w:val="28"/>
          <w:szCs w:val="28"/>
        </w:rPr>
      </w:pPr>
    </w:p>
    <w:p w14:paraId="73BD3244" w14:textId="20BCFF91" w:rsidR="00856EE1" w:rsidRPr="00A370CF" w:rsidRDefault="00A370CF" w:rsidP="00A36464">
      <w:pPr>
        <w:pStyle w:val="Appendix"/>
      </w:pPr>
      <w:bookmarkStart w:id="14" w:name="_Toc86323366"/>
      <w:r>
        <w:t>Internal Review Procedure</w:t>
      </w:r>
      <w:bookmarkEnd w:id="14"/>
    </w:p>
    <w:p w14:paraId="73A73116" w14:textId="77777777" w:rsidR="00A36464" w:rsidRPr="00A370CF" w:rsidRDefault="00A36464" w:rsidP="00856EE1">
      <w:pPr>
        <w:spacing w:after="180"/>
        <w:rPr>
          <w:rFonts w:cs="Arial"/>
          <w:sz w:val="32"/>
          <w:szCs w:val="32"/>
        </w:rPr>
      </w:pPr>
    </w:p>
    <w:p w14:paraId="3C246B35" w14:textId="6D4C02AF" w:rsidR="00856EE1" w:rsidRPr="003B4909" w:rsidRDefault="00856EE1" w:rsidP="00856EE1">
      <w:pPr>
        <w:spacing w:after="180"/>
        <w:rPr>
          <w:rFonts w:cs="Arial"/>
        </w:rPr>
      </w:pPr>
      <w:r w:rsidRPr="003B4909">
        <w:rPr>
          <w:rFonts w:cs="Arial"/>
        </w:rPr>
        <w:t>This process relates to the FOIA Internal Review Procedur</w:t>
      </w:r>
      <w:r w:rsidR="00A370CF">
        <w:rPr>
          <w:rFonts w:cs="Arial"/>
        </w:rPr>
        <w:t>e</w:t>
      </w:r>
      <w:r w:rsidRPr="003B4909">
        <w:rPr>
          <w:rFonts w:cs="Arial"/>
        </w:rPr>
        <w:t>.</w:t>
      </w:r>
    </w:p>
    <w:p w14:paraId="5C3192A4" w14:textId="77777777" w:rsidR="00856EE1" w:rsidRPr="003B4909" w:rsidRDefault="00856EE1" w:rsidP="00856EE1">
      <w:pPr>
        <w:numPr>
          <w:ilvl w:val="0"/>
          <w:numId w:val="3"/>
        </w:numPr>
        <w:spacing w:after="180"/>
        <w:rPr>
          <w:rFonts w:cs="Arial"/>
        </w:rPr>
      </w:pPr>
      <w:r w:rsidRPr="003B4909">
        <w:rPr>
          <w:rFonts w:cs="Arial"/>
        </w:rPr>
        <w:t>In all cases where a Freedom of Information (FOI) response is made to a request received, the response must contain the following statement, or words to a similar effect:</w:t>
      </w:r>
    </w:p>
    <w:p w14:paraId="74D374DE" w14:textId="24AF1269" w:rsidR="00856EE1" w:rsidRPr="003B4909" w:rsidRDefault="00856EE1" w:rsidP="00856EE1">
      <w:pPr>
        <w:spacing w:after="180"/>
        <w:ind w:left="360"/>
        <w:rPr>
          <w:rFonts w:cs="Arial"/>
          <w:i/>
          <w:color w:val="000000"/>
        </w:rPr>
      </w:pPr>
      <w:r w:rsidRPr="003B4909">
        <w:rPr>
          <w:rFonts w:cs="Arial"/>
          <w:i/>
          <w:color w:val="000000"/>
        </w:rPr>
        <w:t xml:space="preserve">“If you are dissatisfied with the handling of your request, you have the right to ask for an internal review.  If so, you should email or write to me to ask for an internal review to be carried out.  The review will be carried out by a senior manager within the </w:t>
      </w:r>
      <w:r w:rsidR="004B5020">
        <w:rPr>
          <w:rFonts w:cs="Arial"/>
          <w:i/>
          <w:color w:val="000000"/>
        </w:rPr>
        <w:t>practice</w:t>
      </w:r>
      <w:r w:rsidR="00F952B1">
        <w:rPr>
          <w:rFonts w:cs="Arial"/>
          <w:i/>
          <w:color w:val="000000"/>
        </w:rPr>
        <w:t xml:space="preserve"> or the Data Protection Officer as appropriate</w:t>
      </w:r>
      <w:r w:rsidRPr="003B4909">
        <w:rPr>
          <w:rFonts w:cs="Arial"/>
          <w:i/>
          <w:color w:val="000000"/>
        </w:rPr>
        <w:t xml:space="preserve">, who will advise you directly of the outcome of the review.  If you are still dissatisfied, you may ask the Information Commissioner's Office to consider your complaint.  Internal review requests should be submitted within </w:t>
      </w:r>
      <w:r w:rsidRPr="004E1989">
        <w:rPr>
          <w:rFonts w:cs="Arial"/>
          <w:b/>
          <w:bCs/>
          <w:i/>
          <w:color w:val="000000"/>
        </w:rPr>
        <w:t xml:space="preserve">two months </w:t>
      </w:r>
      <w:r w:rsidRPr="003B4909">
        <w:rPr>
          <w:rFonts w:cs="Arial"/>
          <w:i/>
          <w:color w:val="000000"/>
        </w:rPr>
        <w:t xml:space="preserve">of the date of receipt of the response to your original </w:t>
      </w:r>
      <w:r w:rsidR="004E1989">
        <w:rPr>
          <w:rFonts w:cs="Arial"/>
          <w:i/>
          <w:color w:val="000000"/>
        </w:rPr>
        <w:t>request and should be addressed to the responding person.</w:t>
      </w:r>
    </w:p>
    <w:p w14:paraId="6F3759F0" w14:textId="77777777" w:rsidR="00856EE1" w:rsidRPr="003B4909" w:rsidRDefault="00856EE1" w:rsidP="00856EE1">
      <w:pPr>
        <w:spacing w:after="180"/>
        <w:ind w:left="360"/>
        <w:rPr>
          <w:rFonts w:cs="Arial"/>
          <w:i/>
          <w:color w:val="000000"/>
        </w:rPr>
      </w:pPr>
      <w:r w:rsidRPr="003B4909">
        <w:rPr>
          <w:rFonts w:cs="Arial"/>
          <w:i/>
          <w:color w:val="000000"/>
        </w:rPr>
        <w:t xml:space="preserve">If you are not content with the outcome of the internal review, you have the right to apply directly to the Information Commissioner for a decision.  The Information Commissioner can be contacted at: Information Commissioner’s Office, Wycliffe House, </w:t>
      </w:r>
      <w:smartTag w:uri="urn:schemas-microsoft-com:office:smarttags" w:element="Street">
        <w:smartTag w:uri="urn:schemas-microsoft-com:office:smarttags" w:element="address">
          <w:r w:rsidRPr="003B4909">
            <w:rPr>
              <w:rFonts w:cs="Arial"/>
              <w:i/>
              <w:color w:val="000000"/>
            </w:rPr>
            <w:t>Water Lane</w:t>
          </w:r>
        </w:smartTag>
      </w:smartTag>
      <w:r w:rsidRPr="003B4909">
        <w:rPr>
          <w:rFonts w:cs="Arial"/>
          <w:i/>
          <w:color w:val="000000"/>
        </w:rPr>
        <w:t xml:space="preserve">, Wilmslow, </w:t>
      </w:r>
      <w:smartTag w:uri="urn:schemas-microsoft-com:office:smarttags" w:element="place">
        <w:smartTag w:uri="urn:schemas-microsoft-com:office:smarttags" w:element="City">
          <w:r w:rsidRPr="003B4909">
            <w:rPr>
              <w:rFonts w:cs="Arial"/>
              <w:i/>
              <w:color w:val="000000"/>
            </w:rPr>
            <w:t>Cheshire</w:t>
          </w:r>
        </w:smartTag>
        <w:r w:rsidRPr="003B4909">
          <w:rPr>
            <w:rFonts w:cs="Arial"/>
            <w:i/>
            <w:color w:val="000000"/>
          </w:rPr>
          <w:t xml:space="preserve">, </w:t>
        </w:r>
        <w:smartTag w:uri="urn:schemas-microsoft-com:office:smarttags" w:element="PostalCode">
          <w:r w:rsidRPr="003B4909">
            <w:rPr>
              <w:rFonts w:cs="Arial"/>
              <w:i/>
              <w:color w:val="000000"/>
            </w:rPr>
            <w:t>SK9 5AF</w:t>
          </w:r>
        </w:smartTag>
      </w:smartTag>
      <w:r w:rsidRPr="003B4909">
        <w:rPr>
          <w:rFonts w:cs="Arial"/>
          <w:i/>
          <w:color w:val="000000"/>
        </w:rPr>
        <w:t>.”</w:t>
      </w:r>
    </w:p>
    <w:p w14:paraId="39823E9B" w14:textId="116FE15C" w:rsidR="00856EE1" w:rsidRPr="003B4909" w:rsidRDefault="00856EE1" w:rsidP="00856EE1">
      <w:pPr>
        <w:numPr>
          <w:ilvl w:val="0"/>
          <w:numId w:val="3"/>
        </w:numPr>
        <w:spacing w:after="180"/>
        <w:rPr>
          <w:rFonts w:cs="Arial"/>
        </w:rPr>
      </w:pPr>
      <w:r w:rsidRPr="003B4909">
        <w:rPr>
          <w:rFonts w:cs="Arial"/>
        </w:rPr>
        <w:t>On receipt of a request for a review of the response, the</w:t>
      </w:r>
      <w:r w:rsidR="00CB2A9F" w:rsidRPr="003B4909">
        <w:rPr>
          <w:rFonts w:cs="Arial"/>
        </w:rPr>
        <w:t xml:space="preserve"> original</w:t>
      </w:r>
      <w:r w:rsidRPr="003B4909">
        <w:rPr>
          <w:rFonts w:cs="Arial"/>
        </w:rPr>
        <w:t xml:space="preserve"> </w:t>
      </w:r>
      <w:r w:rsidR="00CB2A9F" w:rsidRPr="003B4909">
        <w:rPr>
          <w:rFonts w:cs="Arial"/>
        </w:rPr>
        <w:t>responding</w:t>
      </w:r>
      <w:r w:rsidRPr="003B4909">
        <w:rPr>
          <w:rFonts w:cs="Arial"/>
        </w:rPr>
        <w:t xml:space="preserve"> </w:t>
      </w:r>
      <w:r w:rsidR="006D1502">
        <w:rPr>
          <w:rFonts w:cs="Arial"/>
        </w:rPr>
        <w:t>person (RP)</w:t>
      </w:r>
      <w:r w:rsidR="00CB2A9F" w:rsidRPr="003B4909">
        <w:rPr>
          <w:rFonts w:cs="Arial"/>
        </w:rPr>
        <w:t xml:space="preserve">, </w:t>
      </w:r>
      <w:r w:rsidRPr="003B4909">
        <w:rPr>
          <w:rFonts w:cs="Arial"/>
        </w:rPr>
        <w:t>should consider the detail of the review and re-evaluate the basis of the response as appropriate.  In doing so, t</w:t>
      </w:r>
      <w:r w:rsidR="006D1502">
        <w:rPr>
          <w:rFonts w:cs="Arial"/>
        </w:rPr>
        <w:t>he RP</w:t>
      </w:r>
      <w:r w:rsidRPr="003B4909">
        <w:rPr>
          <w:rFonts w:cs="Arial"/>
        </w:rPr>
        <w:t xml:space="preserve"> may wish to take advice from the legal.</w:t>
      </w:r>
    </w:p>
    <w:p w14:paraId="54A881DF" w14:textId="6F053F6B" w:rsidR="00856EE1" w:rsidRPr="003B4909" w:rsidRDefault="00856EE1" w:rsidP="00856EE1">
      <w:pPr>
        <w:numPr>
          <w:ilvl w:val="0"/>
          <w:numId w:val="3"/>
        </w:numPr>
        <w:spacing w:after="180"/>
        <w:rPr>
          <w:rFonts w:cs="Arial"/>
        </w:rPr>
      </w:pPr>
      <w:r w:rsidRPr="003B4909">
        <w:rPr>
          <w:rFonts w:cs="Arial"/>
        </w:rPr>
        <w:t xml:space="preserve">If the </w:t>
      </w:r>
      <w:r w:rsidR="006D1502">
        <w:rPr>
          <w:rFonts w:cs="Arial"/>
        </w:rPr>
        <w:t>RP</w:t>
      </w:r>
      <w:r w:rsidR="00CB2A9F" w:rsidRPr="003B4909">
        <w:rPr>
          <w:rFonts w:cs="Arial"/>
        </w:rPr>
        <w:t>,</w:t>
      </w:r>
      <w:r w:rsidRPr="003B4909">
        <w:rPr>
          <w:rFonts w:cs="Arial"/>
        </w:rPr>
        <w:t xml:space="preserve"> on reflection considers that the request for the review is reasonable and that further disclosure is merited, they should respond accordingly.</w:t>
      </w:r>
    </w:p>
    <w:p w14:paraId="5F8B1F60" w14:textId="5C2398D9" w:rsidR="00FD1D7F" w:rsidRPr="003B4909" w:rsidRDefault="00856EE1" w:rsidP="00CB2A9F">
      <w:pPr>
        <w:numPr>
          <w:ilvl w:val="0"/>
          <w:numId w:val="3"/>
        </w:numPr>
        <w:spacing w:after="180"/>
        <w:rPr>
          <w:rFonts w:cs="Arial"/>
        </w:rPr>
      </w:pPr>
      <w:r w:rsidRPr="003B4909">
        <w:rPr>
          <w:rFonts w:cs="Arial"/>
        </w:rPr>
        <w:t xml:space="preserve">If after deliberation the </w:t>
      </w:r>
      <w:r w:rsidR="006D1502">
        <w:rPr>
          <w:rFonts w:cs="Arial"/>
        </w:rPr>
        <w:t xml:space="preserve">RP </w:t>
      </w:r>
      <w:r w:rsidRPr="003B4909">
        <w:rPr>
          <w:rFonts w:cs="Arial"/>
        </w:rPr>
        <w:t xml:space="preserve">does not consider the grounds of the appeal to be reasonable, they should arrange for </w:t>
      </w:r>
      <w:r w:rsidR="006D1502">
        <w:rPr>
          <w:rFonts w:cs="Arial"/>
        </w:rPr>
        <w:t xml:space="preserve">the SIRO </w:t>
      </w:r>
      <w:r w:rsidRPr="003B4909">
        <w:rPr>
          <w:rFonts w:cs="Arial"/>
        </w:rPr>
        <w:t xml:space="preserve">to undertake a review.  The </w:t>
      </w:r>
      <w:r w:rsidR="006D1502">
        <w:rPr>
          <w:rFonts w:cs="Arial"/>
        </w:rPr>
        <w:t>RP</w:t>
      </w:r>
      <w:r w:rsidRPr="003B4909">
        <w:rPr>
          <w:rFonts w:cs="Arial"/>
        </w:rPr>
        <w:t xml:space="preserve"> should pass </w:t>
      </w:r>
      <w:r w:rsidR="00FD1D7F" w:rsidRPr="003B4909">
        <w:rPr>
          <w:rFonts w:cs="Arial"/>
        </w:rPr>
        <w:t xml:space="preserve">the </w:t>
      </w:r>
      <w:r w:rsidR="006D1502">
        <w:rPr>
          <w:rFonts w:cs="Arial"/>
        </w:rPr>
        <w:t xml:space="preserve">SIRO </w:t>
      </w:r>
      <w:r w:rsidRPr="003B4909">
        <w:rPr>
          <w:rFonts w:cs="Arial"/>
        </w:rPr>
        <w:t>all the relevant correspondence (</w:t>
      </w:r>
      <w:r w:rsidR="00A370CF">
        <w:rPr>
          <w:rFonts w:cs="Arial"/>
        </w:rPr>
        <w:t>e.g.</w:t>
      </w:r>
      <w:r w:rsidRPr="003B4909">
        <w:rPr>
          <w:rFonts w:cs="Arial"/>
        </w:rPr>
        <w:t xml:space="preserve"> the request for information</w:t>
      </w:r>
      <w:r w:rsidR="00CB2A9F" w:rsidRPr="003B4909">
        <w:rPr>
          <w:rFonts w:cs="Arial"/>
        </w:rPr>
        <w:t>,</w:t>
      </w:r>
      <w:r w:rsidRPr="003B4909">
        <w:rPr>
          <w:rFonts w:cs="Arial"/>
        </w:rPr>
        <w:t xml:space="preserve"> the response and any other communications relating to the request</w:t>
      </w:r>
      <w:r w:rsidR="00CB2A9F" w:rsidRPr="003B4909">
        <w:rPr>
          <w:rFonts w:cs="Arial"/>
        </w:rPr>
        <w:t>)</w:t>
      </w:r>
      <w:r w:rsidRPr="003B4909">
        <w:rPr>
          <w:rFonts w:cs="Arial"/>
        </w:rPr>
        <w:t xml:space="preserve"> as well as the disputed information</w:t>
      </w:r>
      <w:r w:rsidR="00CB2A9F" w:rsidRPr="003B4909">
        <w:rPr>
          <w:rFonts w:cs="Arial"/>
        </w:rPr>
        <w:t>.</w:t>
      </w:r>
      <w:r w:rsidR="00314172" w:rsidRPr="003B4909">
        <w:rPr>
          <w:rFonts w:cs="Arial"/>
        </w:rPr>
        <w:t xml:space="preserve"> </w:t>
      </w:r>
    </w:p>
    <w:p w14:paraId="773F9E22" w14:textId="236CBAB5" w:rsidR="00856EE1" w:rsidRPr="003B4909" w:rsidRDefault="00314172" w:rsidP="00CB2A9F">
      <w:pPr>
        <w:numPr>
          <w:ilvl w:val="0"/>
          <w:numId w:val="3"/>
        </w:numPr>
        <w:spacing w:after="180"/>
        <w:rPr>
          <w:rFonts w:cs="Arial"/>
        </w:rPr>
      </w:pPr>
      <w:r w:rsidRPr="003B4909">
        <w:rPr>
          <w:rFonts w:cs="Arial"/>
        </w:rPr>
        <w:t>The applicant should be given an estimate</w:t>
      </w:r>
      <w:r w:rsidR="00FD1D7F" w:rsidRPr="003B4909">
        <w:rPr>
          <w:rFonts w:cs="Arial"/>
        </w:rPr>
        <w:t xml:space="preserve"> </w:t>
      </w:r>
      <w:r w:rsidRPr="003B4909">
        <w:rPr>
          <w:rFonts w:cs="Arial"/>
        </w:rPr>
        <w:t>as soon as possible after the request for an appeal has been received</w:t>
      </w:r>
      <w:r w:rsidR="00FD1D7F" w:rsidRPr="003B4909">
        <w:rPr>
          <w:rFonts w:cs="Arial"/>
        </w:rPr>
        <w:t>,</w:t>
      </w:r>
      <w:r w:rsidRPr="003B4909">
        <w:rPr>
          <w:rFonts w:cs="Arial"/>
        </w:rPr>
        <w:t xml:space="preserve"> of the time the review is likely to take</w:t>
      </w:r>
      <w:r w:rsidR="00342B89" w:rsidRPr="003B4909">
        <w:rPr>
          <w:rFonts w:cs="Arial"/>
        </w:rPr>
        <w:t xml:space="preserve">. The </w:t>
      </w:r>
      <w:r w:rsidR="006D1502">
        <w:rPr>
          <w:rFonts w:cs="Arial"/>
        </w:rPr>
        <w:t>SIRO</w:t>
      </w:r>
      <w:r w:rsidR="00342B89" w:rsidRPr="003B4909">
        <w:rPr>
          <w:rFonts w:cs="Arial"/>
        </w:rPr>
        <w:t xml:space="preserve"> should aim to </w:t>
      </w:r>
      <w:r w:rsidR="00FD1D7F" w:rsidRPr="003B4909">
        <w:rPr>
          <w:rFonts w:cs="Arial"/>
        </w:rPr>
        <w:t xml:space="preserve">complete their review and </w:t>
      </w:r>
      <w:r w:rsidR="00342B89" w:rsidRPr="003B4909">
        <w:rPr>
          <w:rFonts w:cs="Arial"/>
        </w:rPr>
        <w:t>respond within 20 working days.</w:t>
      </w:r>
      <w:r w:rsidR="00FD1D7F" w:rsidRPr="003B4909">
        <w:rPr>
          <w:rFonts w:cs="Arial"/>
        </w:rPr>
        <w:t xml:space="preserve"> Where there is delay in the review the applicant should be informed and advised of the revised response time.</w:t>
      </w:r>
    </w:p>
    <w:p w14:paraId="5EA26CA5" w14:textId="50FF21F1" w:rsidR="00856EE1" w:rsidRPr="003B4909" w:rsidRDefault="00856EE1" w:rsidP="00856EE1">
      <w:pPr>
        <w:numPr>
          <w:ilvl w:val="0"/>
          <w:numId w:val="3"/>
        </w:numPr>
        <w:spacing w:after="180"/>
        <w:rPr>
          <w:rFonts w:cs="Arial"/>
        </w:rPr>
      </w:pPr>
      <w:r w:rsidRPr="003B4909">
        <w:rPr>
          <w:rFonts w:cs="Arial"/>
        </w:rPr>
        <w:t xml:space="preserve">The </w:t>
      </w:r>
      <w:r w:rsidR="003C15C4">
        <w:rPr>
          <w:rFonts w:cs="Arial"/>
        </w:rPr>
        <w:t xml:space="preserve">RP </w:t>
      </w:r>
      <w:r w:rsidRPr="003B4909">
        <w:rPr>
          <w:rFonts w:cs="Arial"/>
        </w:rPr>
        <w:t xml:space="preserve">may, if they feel it appropriate, request that the review response </w:t>
      </w:r>
      <w:r w:rsidR="00FD1D7F" w:rsidRPr="003B4909">
        <w:rPr>
          <w:rFonts w:cs="Arial"/>
        </w:rPr>
        <w:t>is</w:t>
      </w:r>
      <w:r w:rsidRPr="003B4909">
        <w:rPr>
          <w:rFonts w:cs="Arial"/>
        </w:rPr>
        <w:t xml:space="preserve"> considered by the </w:t>
      </w:r>
      <w:r w:rsidR="00A370CF">
        <w:rPr>
          <w:rFonts w:cs="Arial"/>
        </w:rPr>
        <w:t xml:space="preserve">Data Protection Officer </w:t>
      </w:r>
      <w:r w:rsidRPr="003B4909">
        <w:rPr>
          <w:rFonts w:cs="Arial"/>
        </w:rPr>
        <w:t>prior to being sent out.</w:t>
      </w:r>
      <w:r w:rsidR="00CB2A9F" w:rsidRPr="003B4909">
        <w:rPr>
          <w:rFonts w:cs="Arial"/>
        </w:rPr>
        <w:t xml:space="preserve"> </w:t>
      </w:r>
    </w:p>
    <w:p w14:paraId="182EDE2B" w14:textId="078F5FF4" w:rsidR="00342B89" w:rsidRPr="003B4909" w:rsidRDefault="00FD1D7F" w:rsidP="00856EE1">
      <w:pPr>
        <w:numPr>
          <w:ilvl w:val="0"/>
          <w:numId w:val="3"/>
        </w:numPr>
        <w:spacing w:after="180"/>
        <w:rPr>
          <w:rFonts w:cs="Arial"/>
        </w:rPr>
      </w:pPr>
      <w:r w:rsidRPr="003B4909">
        <w:rPr>
          <w:rFonts w:cs="Arial"/>
        </w:rPr>
        <w:lastRenderedPageBreak/>
        <w:t xml:space="preserve">Once the </w:t>
      </w:r>
      <w:r w:rsidR="003C15C4">
        <w:rPr>
          <w:rFonts w:cs="Arial"/>
        </w:rPr>
        <w:t xml:space="preserve">RP </w:t>
      </w:r>
      <w:r w:rsidRPr="003B4909">
        <w:rPr>
          <w:rFonts w:cs="Arial"/>
        </w:rPr>
        <w:t>has completed the review they</w:t>
      </w:r>
      <w:r w:rsidR="00856EE1" w:rsidRPr="003B4909">
        <w:rPr>
          <w:rFonts w:cs="Arial"/>
        </w:rPr>
        <w:t xml:space="preserve"> should respond as appropriate</w:t>
      </w:r>
      <w:r w:rsidRPr="003B4909">
        <w:rPr>
          <w:rFonts w:cs="Arial"/>
        </w:rPr>
        <w:t xml:space="preserve">. If </w:t>
      </w:r>
      <w:r w:rsidR="00522C3A" w:rsidRPr="003B4909">
        <w:rPr>
          <w:rFonts w:cs="Arial"/>
        </w:rPr>
        <w:t>the appeal is upheld then a disclosure of the disputed information should be given to the applicant. However if the appeal is only partially upheld or if the original decision is maintained then a full explanation as possible shoul</w:t>
      </w:r>
      <w:r w:rsidRPr="003B4909">
        <w:rPr>
          <w:rFonts w:cs="Arial"/>
        </w:rPr>
        <w:t>d be provided to the applicant and any additional disclosure as appropriate.</w:t>
      </w:r>
    </w:p>
    <w:p w14:paraId="590DE47F" w14:textId="1D2E3BE4" w:rsidR="00856EE1" w:rsidRPr="003B4909" w:rsidRDefault="00342B89" w:rsidP="00856EE1">
      <w:pPr>
        <w:numPr>
          <w:ilvl w:val="0"/>
          <w:numId w:val="3"/>
        </w:numPr>
        <w:spacing w:after="180"/>
        <w:rPr>
          <w:rFonts w:cs="Arial"/>
        </w:rPr>
      </w:pPr>
      <w:r w:rsidRPr="003B4909">
        <w:rPr>
          <w:rFonts w:cs="Arial"/>
        </w:rPr>
        <w:t xml:space="preserve">If the review relates to a procedural matter and it was shown that the </w:t>
      </w:r>
      <w:r w:rsidR="0088003D">
        <w:rPr>
          <w:rFonts w:cs="Arial"/>
        </w:rPr>
        <w:t>practice</w:t>
      </w:r>
      <w:r w:rsidRPr="003B4909">
        <w:rPr>
          <w:rFonts w:cs="Arial"/>
        </w:rPr>
        <w:t xml:space="preserve"> did not follow</w:t>
      </w:r>
      <w:r w:rsidR="00FD1D7F" w:rsidRPr="003B4909">
        <w:rPr>
          <w:rFonts w:cs="Arial"/>
        </w:rPr>
        <w:t xml:space="preserve"> its</w:t>
      </w:r>
      <w:r w:rsidRPr="003B4909">
        <w:rPr>
          <w:rFonts w:cs="Arial"/>
        </w:rPr>
        <w:t xml:space="preserve"> procedures an apology should be offered to the applicant.</w:t>
      </w:r>
      <w:r w:rsidR="00FD1D7F" w:rsidRPr="003B4909">
        <w:rPr>
          <w:rFonts w:cs="Arial"/>
        </w:rPr>
        <w:t xml:space="preserve"> Steps should also be taken to ensure that the occurrence is not repeated.</w:t>
      </w:r>
    </w:p>
    <w:p w14:paraId="7C7FB16F" w14:textId="175F7310" w:rsidR="00342B89" w:rsidRPr="003B4909" w:rsidRDefault="00856EE1" w:rsidP="00856EE1">
      <w:pPr>
        <w:numPr>
          <w:ilvl w:val="0"/>
          <w:numId w:val="3"/>
        </w:numPr>
        <w:spacing w:after="180"/>
        <w:rPr>
          <w:rFonts w:cs="Arial"/>
        </w:rPr>
      </w:pPr>
      <w:r w:rsidRPr="003B4909">
        <w:rPr>
          <w:rFonts w:cs="Arial"/>
        </w:rPr>
        <w:t>Full details of all steps taken must be recorded (</w:t>
      </w:r>
      <w:r w:rsidR="00A370CF">
        <w:rPr>
          <w:rFonts w:cs="Arial"/>
        </w:rPr>
        <w:t xml:space="preserve">e.g. </w:t>
      </w:r>
      <w:r w:rsidRPr="003B4909">
        <w:rPr>
          <w:rFonts w:cs="Arial"/>
        </w:rPr>
        <w:t>the reasoning and logic behind the response, the steps taken to review, etc.) in lieu of any appeal to the Information Commissioner’s Office.</w:t>
      </w:r>
    </w:p>
    <w:p w14:paraId="49C6EFD3" w14:textId="71C6A346" w:rsidR="00856EE1" w:rsidRPr="00B41C06" w:rsidRDefault="00856EE1" w:rsidP="00B41C06">
      <w:pPr>
        <w:pStyle w:val="ListParagraph"/>
        <w:numPr>
          <w:ilvl w:val="0"/>
          <w:numId w:val="3"/>
        </w:numPr>
        <w:spacing w:after="180"/>
      </w:pPr>
      <w:r w:rsidRPr="00B41C06">
        <w:t xml:space="preserve">All requests for a review of a data protection issue, whether made by an individual or the Information Commissioner’s Office, should be passed to the </w:t>
      </w:r>
      <w:r w:rsidR="004B5020" w:rsidRPr="00B41C06">
        <w:t>practice</w:t>
      </w:r>
      <w:r w:rsidR="007E624D" w:rsidRPr="00B41C06">
        <w:t xml:space="preserve">’s </w:t>
      </w:r>
      <w:r w:rsidRPr="00B41C06">
        <w:t>Data Protection Officer</w:t>
      </w:r>
      <w:r w:rsidR="00A370CF" w:rsidRPr="00B41C06">
        <w:t>.</w:t>
      </w:r>
    </w:p>
    <w:p w14:paraId="31AA6A8E" w14:textId="2AAB0BD1" w:rsidR="00B41C06" w:rsidRDefault="00B41C06">
      <w:pPr>
        <w:rPr>
          <w:rFonts w:cs="Arial"/>
        </w:rPr>
      </w:pPr>
      <w:r>
        <w:br w:type="page"/>
      </w:r>
    </w:p>
    <w:p w14:paraId="7EF1188E" w14:textId="77777777" w:rsidR="00B41C06" w:rsidRPr="00B41C06" w:rsidRDefault="00B41C06" w:rsidP="00B41C06">
      <w:pPr>
        <w:pStyle w:val="ListParagraph"/>
        <w:numPr>
          <w:ilvl w:val="0"/>
          <w:numId w:val="0"/>
        </w:numPr>
        <w:spacing w:after="180"/>
        <w:ind w:left="360"/>
      </w:pPr>
    </w:p>
    <w:p w14:paraId="36294DE2" w14:textId="5D208E8F" w:rsidR="00B41C06" w:rsidRDefault="00B41C06" w:rsidP="00B41C06">
      <w:pPr>
        <w:pStyle w:val="Appendix"/>
      </w:pPr>
      <w:bookmarkStart w:id="15" w:name="_Ref86323280"/>
      <w:bookmarkStart w:id="16" w:name="_Toc86323367"/>
      <w:r>
        <w:t>Response to FOI request for personal data</w:t>
      </w:r>
      <w:bookmarkEnd w:id="15"/>
      <w:bookmarkEnd w:id="16"/>
    </w:p>
    <w:p w14:paraId="2A6B3391" w14:textId="77777777" w:rsidR="00B41C06" w:rsidRDefault="00B41C06" w:rsidP="00B41C06">
      <w:pPr>
        <w:pStyle w:val="Appendix"/>
        <w:numPr>
          <w:ilvl w:val="0"/>
          <w:numId w:val="0"/>
        </w:numPr>
        <w:ind w:left="2127" w:hanging="2127"/>
      </w:pPr>
    </w:p>
    <w:p w14:paraId="18AE264D" w14:textId="5D092A52" w:rsidR="00B41C06" w:rsidRDefault="00B41C06" w:rsidP="00B41C06">
      <w:pPr>
        <w:pStyle w:val="NoSpacing"/>
      </w:pPr>
      <w:r>
        <w:t>Dear &lt;patient&gt;</w:t>
      </w:r>
    </w:p>
    <w:p w14:paraId="56505047" w14:textId="77777777" w:rsidR="00B41C06" w:rsidRDefault="00B41C06" w:rsidP="00B41C06">
      <w:pPr>
        <w:pStyle w:val="NoSpacing"/>
      </w:pPr>
    </w:p>
    <w:p w14:paraId="311ABD5A" w14:textId="6BD1D0A9" w:rsidR="00B41C06" w:rsidRDefault="00B41C06" w:rsidP="00B41C06">
      <w:pPr>
        <w:pStyle w:val="NoSpacing"/>
      </w:pPr>
      <w:r>
        <w:t xml:space="preserve">Thank you for your request </w:t>
      </w:r>
      <w:r w:rsidR="00A549D0">
        <w:t xml:space="preserve">on &lt;date&gt;. </w:t>
      </w:r>
    </w:p>
    <w:p w14:paraId="64BCECC6" w14:textId="77777777" w:rsidR="00A549D0" w:rsidRDefault="00A549D0" w:rsidP="00B41C06">
      <w:pPr>
        <w:pStyle w:val="NoSpacing"/>
      </w:pPr>
    </w:p>
    <w:p w14:paraId="754FB629" w14:textId="67FE5372" w:rsidR="00A549D0" w:rsidRDefault="00A549D0" w:rsidP="00B41C06">
      <w:pPr>
        <w:pStyle w:val="NoSpacing"/>
      </w:pPr>
      <w:r>
        <w:t xml:space="preserve">The response to your Freedom of Information Act 2000 request is that the data requested is exempt under </w:t>
      </w:r>
      <w:r w:rsidR="008A7C12">
        <w:t xml:space="preserve">Section </w:t>
      </w:r>
      <w:r w:rsidR="00925585">
        <w:t>40(1) – personal information of the applicant. The request is therefore refused.</w:t>
      </w:r>
    </w:p>
    <w:p w14:paraId="4220B6D7" w14:textId="77777777" w:rsidR="00925585" w:rsidRDefault="00925585" w:rsidP="00B41C06">
      <w:pPr>
        <w:pStyle w:val="NoSpacing"/>
      </w:pPr>
    </w:p>
    <w:p w14:paraId="05C7583D" w14:textId="57F37843" w:rsidR="00925585" w:rsidRDefault="00925585" w:rsidP="00B41C06">
      <w:pPr>
        <w:pStyle w:val="NoSpacing"/>
      </w:pPr>
      <w:r>
        <w:t>We believe that you may have wished to make a request under Article 15 of the UK GDPR for access to your data. If this was what you wanted, please reply to us stating t</w:t>
      </w:r>
      <w:r w:rsidR="005B0C71">
        <w:t>his, and we will process th</w:t>
      </w:r>
      <w:r w:rsidR="0036525E">
        <w:t>at</w:t>
      </w:r>
      <w:r w:rsidR="005B0C71">
        <w:t xml:space="preserve"> request.</w:t>
      </w:r>
    </w:p>
    <w:p w14:paraId="09077CBC" w14:textId="77777777" w:rsidR="005B0C71" w:rsidRDefault="005B0C71" w:rsidP="00B41C06">
      <w:pPr>
        <w:pStyle w:val="NoSpacing"/>
      </w:pPr>
    </w:p>
    <w:p w14:paraId="2B647E49" w14:textId="291D7041" w:rsidR="005B0C71" w:rsidRDefault="005B0C71" w:rsidP="00B41C06">
      <w:pPr>
        <w:pStyle w:val="NoSpacing"/>
      </w:pPr>
      <w:r>
        <w:t>We apologise for the formality of this process, but the law requires us to formally answer all Freedom of Information Act requests</w:t>
      </w:r>
      <w:r w:rsidR="008154AA">
        <w:t xml:space="preserve"> within 20 working days.</w:t>
      </w:r>
    </w:p>
    <w:p w14:paraId="2D4B8A67" w14:textId="77777777" w:rsidR="0036525E" w:rsidRDefault="0036525E" w:rsidP="00B41C06">
      <w:pPr>
        <w:pStyle w:val="NoSpacing"/>
      </w:pPr>
    </w:p>
    <w:p w14:paraId="705F2BED" w14:textId="73E35617" w:rsidR="0036525E" w:rsidRDefault="0036525E" w:rsidP="00B41C06">
      <w:pPr>
        <w:pStyle w:val="NoSpacing"/>
      </w:pPr>
      <w:r>
        <w:t>Yours</w:t>
      </w:r>
    </w:p>
    <w:p w14:paraId="5B7D984E" w14:textId="200606EB" w:rsidR="0036525E" w:rsidRPr="00A370CF" w:rsidRDefault="0036525E" w:rsidP="00B41C06">
      <w:pPr>
        <w:pStyle w:val="NoSpacing"/>
      </w:pPr>
      <w:r>
        <w:t>&lt;etc&gt;</w:t>
      </w:r>
    </w:p>
    <w:p w14:paraId="53662E4F" w14:textId="0334B1C7" w:rsidR="00A36464" w:rsidRDefault="00A36464">
      <w:pPr>
        <w:rPr>
          <w:rFonts w:cs="Arial"/>
          <w:color w:val="000000"/>
          <w:sz w:val="28"/>
          <w:szCs w:val="28"/>
        </w:rPr>
      </w:pPr>
    </w:p>
    <w:sectPr w:rsidR="00A36464" w:rsidSect="00CC729A">
      <w:footerReference w:type="even" r:id="rId14"/>
      <w:footerReference w:type="default" r:id="rId15"/>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831B5" w14:textId="77777777" w:rsidR="00C2045E" w:rsidRDefault="00C2045E">
      <w:r>
        <w:separator/>
      </w:r>
    </w:p>
    <w:p w14:paraId="6D97B761" w14:textId="77777777" w:rsidR="00C2045E" w:rsidRDefault="00C2045E"/>
  </w:endnote>
  <w:endnote w:type="continuationSeparator" w:id="0">
    <w:p w14:paraId="212FBA7D" w14:textId="77777777" w:rsidR="00C2045E" w:rsidRDefault="00C2045E">
      <w:r>
        <w:continuationSeparator/>
      </w:r>
    </w:p>
    <w:p w14:paraId="3F12235A" w14:textId="77777777" w:rsidR="00C2045E" w:rsidRDefault="00C2045E"/>
  </w:endnote>
  <w:endnote w:type="continuationNotice" w:id="1">
    <w:p w14:paraId="66484E7F" w14:textId="77777777" w:rsidR="00303F20" w:rsidRDefault="00303F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E0083" w14:textId="77777777" w:rsidR="00C2045E" w:rsidRDefault="00C2045E" w:rsidP="007031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16A490" w14:textId="77777777" w:rsidR="00C2045E" w:rsidRDefault="00C2045E" w:rsidP="00CC729A">
    <w:pPr>
      <w:pStyle w:val="Footer"/>
      <w:ind w:right="360"/>
    </w:pPr>
  </w:p>
  <w:p w14:paraId="63185D23" w14:textId="77777777" w:rsidR="00C2045E" w:rsidRDefault="00C2045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7A010" w14:textId="77777777" w:rsidR="00C2045E" w:rsidRDefault="00C2045E" w:rsidP="003B4909">
    <w:pPr>
      <w:pStyle w:val="Footer"/>
      <w:rPr>
        <w:sz w:val="20"/>
        <w:szCs w:val="20"/>
      </w:rPr>
    </w:pPr>
  </w:p>
  <w:p w14:paraId="2F791309" w14:textId="77777777" w:rsidR="00C2045E" w:rsidRDefault="00C2045E" w:rsidP="003B4909">
    <w:pPr>
      <w:pStyle w:val="Footer"/>
      <w:rPr>
        <w:sz w:val="20"/>
        <w:szCs w:val="20"/>
      </w:rPr>
    </w:pPr>
  </w:p>
  <w:p w14:paraId="74AEC236" w14:textId="2B318242" w:rsidR="00C2045E" w:rsidRPr="00F34668" w:rsidRDefault="00311767" w:rsidP="003B4909">
    <w:pPr>
      <w:pStyle w:val="Footer"/>
      <w:rPr>
        <w:sz w:val="20"/>
        <w:szCs w:val="20"/>
      </w:rPr>
    </w:pPr>
    <w:r>
      <w:rPr>
        <w:sz w:val="20"/>
        <w:szCs w:val="20"/>
      </w:rPr>
      <w:t>Freedom of Information Policy v1.</w:t>
    </w:r>
    <w:r w:rsidR="00CB544C">
      <w:rPr>
        <w:sz w:val="20"/>
        <w:szCs w:val="20"/>
      </w:rPr>
      <w:t>1</w:t>
    </w:r>
    <w:r w:rsidR="00C2045E">
      <w:rPr>
        <w:sz w:val="20"/>
        <w:szCs w:val="20"/>
      </w:rPr>
      <w:tab/>
    </w:r>
    <w:r w:rsidR="00C2045E" w:rsidRPr="00F34668">
      <w:rPr>
        <w:sz w:val="20"/>
        <w:szCs w:val="20"/>
      </w:rPr>
      <w:tab/>
      <w:t xml:space="preserve">Page </w:t>
    </w:r>
    <w:r w:rsidR="00C2045E" w:rsidRPr="00F34668">
      <w:rPr>
        <w:sz w:val="20"/>
        <w:szCs w:val="20"/>
      </w:rPr>
      <w:fldChar w:fldCharType="begin"/>
    </w:r>
    <w:r w:rsidR="00C2045E" w:rsidRPr="00F34668">
      <w:rPr>
        <w:sz w:val="20"/>
        <w:szCs w:val="20"/>
      </w:rPr>
      <w:instrText xml:space="preserve"> PAGE </w:instrText>
    </w:r>
    <w:r w:rsidR="00C2045E" w:rsidRPr="00F34668">
      <w:rPr>
        <w:sz w:val="20"/>
        <w:szCs w:val="20"/>
      </w:rPr>
      <w:fldChar w:fldCharType="separate"/>
    </w:r>
    <w:r w:rsidR="00C2045E">
      <w:rPr>
        <w:noProof/>
        <w:sz w:val="20"/>
        <w:szCs w:val="20"/>
      </w:rPr>
      <w:t>26</w:t>
    </w:r>
    <w:r w:rsidR="00C2045E" w:rsidRPr="00F34668">
      <w:rPr>
        <w:sz w:val="20"/>
        <w:szCs w:val="20"/>
      </w:rPr>
      <w:fldChar w:fldCharType="end"/>
    </w:r>
    <w:r w:rsidR="00C2045E" w:rsidRPr="00F34668">
      <w:rPr>
        <w:sz w:val="20"/>
        <w:szCs w:val="20"/>
      </w:rPr>
      <w:t xml:space="preserve"> of </w:t>
    </w:r>
    <w:r w:rsidR="00C2045E" w:rsidRPr="00F34668">
      <w:rPr>
        <w:sz w:val="20"/>
        <w:szCs w:val="20"/>
      </w:rPr>
      <w:fldChar w:fldCharType="begin"/>
    </w:r>
    <w:r w:rsidR="00C2045E" w:rsidRPr="00F34668">
      <w:rPr>
        <w:sz w:val="20"/>
        <w:szCs w:val="20"/>
      </w:rPr>
      <w:instrText xml:space="preserve"> NUMPAGES </w:instrText>
    </w:r>
    <w:r w:rsidR="00C2045E" w:rsidRPr="00F34668">
      <w:rPr>
        <w:sz w:val="20"/>
        <w:szCs w:val="20"/>
      </w:rPr>
      <w:fldChar w:fldCharType="separate"/>
    </w:r>
    <w:r w:rsidR="00C2045E">
      <w:rPr>
        <w:noProof/>
        <w:sz w:val="20"/>
        <w:szCs w:val="20"/>
      </w:rPr>
      <w:t>26</w:t>
    </w:r>
    <w:r w:rsidR="00C2045E" w:rsidRPr="00F34668">
      <w:rPr>
        <w:sz w:val="20"/>
        <w:szCs w:val="20"/>
      </w:rPr>
      <w:fldChar w:fldCharType="end"/>
    </w:r>
  </w:p>
  <w:p w14:paraId="74064A15" w14:textId="77777777" w:rsidR="00C2045E" w:rsidRDefault="00C2045E" w:rsidP="003B4909">
    <w:pPr>
      <w:pStyle w:val="Footer"/>
      <w:ind w:right="360"/>
    </w:pPr>
  </w:p>
  <w:p w14:paraId="1B677867" w14:textId="77777777" w:rsidR="00C2045E" w:rsidRDefault="00C204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03FC4" w14:textId="77777777" w:rsidR="00C2045E" w:rsidRDefault="00C2045E">
      <w:r>
        <w:separator/>
      </w:r>
    </w:p>
    <w:p w14:paraId="633AFDFE" w14:textId="77777777" w:rsidR="00C2045E" w:rsidRDefault="00C2045E"/>
  </w:footnote>
  <w:footnote w:type="continuationSeparator" w:id="0">
    <w:p w14:paraId="49DAD25B" w14:textId="77777777" w:rsidR="00C2045E" w:rsidRDefault="00C2045E">
      <w:r>
        <w:continuationSeparator/>
      </w:r>
    </w:p>
    <w:p w14:paraId="6AC4BE81" w14:textId="77777777" w:rsidR="00C2045E" w:rsidRDefault="00C2045E"/>
  </w:footnote>
  <w:footnote w:type="continuationNotice" w:id="1">
    <w:p w14:paraId="18CBB534" w14:textId="77777777" w:rsidR="00303F20" w:rsidRDefault="00303F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2093"/>
    <w:multiLevelType w:val="multilevel"/>
    <w:tmpl w:val="7100755E"/>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FD0019"/>
    <w:multiLevelType w:val="hybridMultilevel"/>
    <w:tmpl w:val="BEA684CC"/>
    <w:lvl w:ilvl="0" w:tplc="47F27FBA">
      <w:start w:val="1"/>
      <w:numFmt w:val="bullet"/>
      <w:lvlText w:val=""/>
      <w:lvlJc w:val="left"/>
      <w:pPr>
        <w:tabs>
          <w:tab w:val="num" w:pos="3237"/>
        </w:tabs>
        <w:ind w:left="3600" w:hanging="720"/>
      </w:pPr>
      <w:rPr>
        <w:rFonts w:ascii="Symbol" w:hAnsi="Symbol" w:hint="default"/>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cs="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cs="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2" w15:restartNumberingAfterBreak="0">
    <w:nsid w:val="0B4A4329"/>
    <w:multiLevelType w:val="hybridMultilevel"/>
    <w:tmpl w:val="A908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770D3"/>
    <w:multiLevelType w:val="hybridMultilevel"/>
    <w:tmpl w:val="26C6BE10"/>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086B58"/>
    <w:multiLevelType w:val="hybridMultilevel"/>
    <w:tmpl w:val="C8749DB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E16465"/>
    <w:multiLevelType w:val="multilevel"/>
    <w:tmpl w:val="88C2ECE6"/>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07D4093"/>
    <w:multiLevelType w:val="hybridMultilevel"/>
    <w:tmpl w:val="9638619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4D848CF"/>
    <w:multiLevelType w:val="multilevel"/>
    <w:tmpl w:val="DB5272BC"/>
    <w:lvl w:ilvl="0">
      <w:start w:val="13"/>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F371D6"/>
    <w:multiLevelType w:val="multilevel"/>
    <w:tmpl w:val="26E810C8"/>
    <w:lvl w:ilvl="0">
      <w:start w:val="1"/>
      <w:numFmt w:val="decimal"/>
      <w:pStyle w:val="Heading1"/>
      <w:lvlText w:val="%1"/>
      <w:lvlJc w:val="left"/>
      <w:pPr>
        <w:tabs>
          <w:tab w:val="num" w:pos="720"/>
        </w:tabs>
        <w:ind w:left="720" w:hanging="720"/>
      </w:pPr>
      <w:rPr>
        <w:rFonts w:hint="default"/>
      </w:rPr>
    </w:lvl>
    <w:lvl w:ilvl="1">
      <w:start w:val="1"/>
      <w:numFmt w:val="decimal"/>
      <w:pStyle w:val="ListParagraph"/>
      <w:lvlText w:val="%1.%2"/>
      <w:lvlJc w:val="left"/>
      <w:pPr>
        <w:tabs>
          <w:tab w:val="num" w:pos="720"/>
        </w:tabs>
        <w:ind w:left="720" w:hanging="720"/>
      </w:pPr>
      <w:rPr>
        <w:rFonts w:hint="default"/>
        <w:b w:val="0"/>
      </w:rPr>
    </w:lvl>
    <w:lvl w:ilvl="2">
      <w:start w:val="2"/>
      <w:numFmt w:val="decimal"/>
      <w:pStyle w:val="Listpara2"/>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EB24408"/>
    <w:multiLevelType w:val="multilevel"/>
    <w:tmpl w:val="274253E2"/>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1EA3C64"/>
    <w:multiLevelType w:val="hybridMultilevel"/>
    <w:tmpl w:val="F0D82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9A3970"/>
    <w:multiLevelType w:val="multilevel"/>
    <w:tmpl w:val="AF7A550C"/>
    <w:lvl w:ilvl="0">
      <w:start w:val="7"/>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E6C24FC"/>
    <w:multiLevelType w:val="hybridMultilevel"/>
    <w:tmpl w:val="0D94419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6935FA1"/>
    <w:multiLevelType w:val="hybridMultilevel"/>
    <w:tmpl w:val="C8608DB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3C4DDE"/>
    <w:multiLevelType w:val="multilevel"/>
    <w:tmpl w:val="126E6304"/>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6BE31EE"/>
    <w:multiLevelType w:val="hybridMultilevel"/>
    <w:tmpl w:val="10749120"/>
    <w:lvl w:ilvl="0" w:tplc="E7BCBC64">
      <w:start w:val="1"/>
      <w:numFmt w:val="decimal"/>
      <w:pStyle w:val="Appendix"/>
      <w:lvlText w:val="Appendix %1."/>
      <w:lvlJc w:val="left"/>
      <w:pPr>
        <w:ind w:left="720" w:hanging="36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8F6594"/>
    <w:multiLevelType w:val="hybridMultilevel"/>
    <w:tmpl w:val="56AC57FA"/>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545687"/>
    <w:multiLevelType w:val="hybridMultilevel"/>
    <w:tmpl w:val="29F4D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97140D"/>
    <w:multiLevelType w:val="hybridMultilevel"/>
    <w:tmpl w:val="CF20A7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A40116"/>
    <w:multiLevelType w:val="hybridMultilevel"/>
    <w:tmpl w:val="A05C50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1D689F"/>
    <w:multiLevelType w:val="hybridMultilevel"/>
    <w:tmpl w:val="2C482B4C"/>
    <w:lvl w:ilvl="0" w:tplc="0809000F">
      <w:start w:val="1"/>
      <w:numFmt w:val="decimal"/>
      <w:lvlText w:val="%1."/>
      <w:lvlJc w:val="left"/>
      <w:pPr>
        <w:tabs>
          <w:tab w:val="num" w:pos="360"/>
        </w:tabs>
        <w:ind w:left="360" w:hanging="360"/>
      </w:pPr>
    </w:lvl>
    <w:lvl w:ilvl="1" w:tplc="8DF800EC">
      <w:start w:val="1"/>
      <w:numFmt w:val="lowerLetter"/>
      <w:lvlText w:val="%2)"/>
      <w:lvlJc w:val="left"/>
      <w:pPr>
        <w:ind w:left="1080" w:hanging="360"/>
      </w:pPr>
      <w:rPr>
        <w:rFonts w:hint="default"/>
        <w:i/>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65746CCE"/>
    <w:multiLevelType w:val="multilevel"/>
    <w:tmpl w:val="AF7A550C"/>
    <w:lvl w:ilvl="0">
      <w:start w:val="7"/>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6866A00"/>
    <w:multiLevelType w:val="multilevel"/>
    <w:tmpl w:val="B1DA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BD6425"/>
    <w:multiLevelType w:val="hybridMultilevel"/>
    <w:tmpl w:val="50AAE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48860E5"/>
    <w:multiLevelType w:val="multilevel"/>
    <w:tmpl w:val="126E6304"/>
    <w:lvl w:ilvl="0">
      <w:start w:val="4"/>
      <w:numFmt w:val="decimal"/>
      <w:lvlText w:val="%1"/>
      <w:lvlJc w:val="left"/>
      <w:pPr>
        <w:tabs>
          <w:tab w:val="num" w:pos="720"/>
        </w:tabs>
        <w:ind w:left="720" w:hanging="720"/>
      </w:pPr>
      <w:rPr>
        <w:rFonts w:hint="default"/>
        <w:b w:val="0"/>
      </w:rPr>
    </w:lvl>
    <w:lvl w:ilvl="1">
      <w:start w:val="5"/>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15:restartNumberingAfterBreak="0">
    <w:nsid w:val="79B616D8"/>
    <w:multiLevelType w:val="hybridMultilevel"/>
    <w:tmpl w:val="206AC7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3E4FB2"/>
    <w:multiLevelType w:val="hybridMultilevel"/>
    <w:tmpl w:val="6F0457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43812011">
    <w:abstractNumId w:val="22"/>
  </w:num>
  <w:num w:numId="2" w16cid:durableId="1551456408">
    <w:abstractNumId w:val="6"/>
  </w:num>
  <w:num w:numId="3" w16cid:durableId="2054422919">
    <w:abstractNumId w:val="20"/>
  </w:num>
  <w:num w:numId="4" w16cid:durableId="110828710">
    <w:abstractNumId w:val="21"/>
  </w:num>
  <w:num w:numId="5" w16cid:durableId="306783427">
    <w:abstractNumId w:val="1"/>
  </w:num>
  <w:num w:numId="6" w16cid:durableId="2050836422">
    <w:abstractNumId w:val="5"/>
  </w:num>
  <w:num w:numId="7" w16cid:durableId="1363356504">
    <w:abstractNumId w:val="14"/>
  </w:num>
  <w:num w:numId="8" w16cid:durableId="629630291">
    <w:abstractNumId w:val="24"/>
  </w:num>
  <w:num w:numId="9" w16cid:durableId="893589226">
    <w:abstractNumId w:val="11"/>
  </w:num>
  <w:num w:numId="10" w16cid:durableId="934478097">
    <w:abstractNumId w:val="7"/>
  </w:num>
  <w:num w:numId="11" w16cid:durableId="992754259">
    <w:abstractNumId w:val="0"/>
  </w:num>
  <w:num w:numId="12" w16cid:durableId="1003364283">
    <w:abstractNumId w:val="9"/>
  </w:num>
  <w:num w:numId="13" w16cid:durableId="1499929839">
    <w:abstractNumId w:val="8"/>
  </w:num>
  <w:num w:numId="14" w16cid:durableId="1470709695">
    <w:abstractNumId w:val="23"/>
  </w:num>
  <w:num w:numId="15" w16cid:durableId="105389091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2833255">
    <w:abstractNumId w:val="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7287544">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2536455">
    <w:abstractNumId w:val="8"/>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2751412">
    <w:abstractNumId w:val="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8324864">
    <w:abstractNumId w:val="8"/>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6932699">
    <w:abstractNumId w:val="8"/>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7685842">
    <w:abstractNumId w:val="8"/>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01110529">
    <w:abstractNumId w:val="8"/>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20572071">
    <w:abstractNumId w:val="8"/>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1470645">
    <w:abstractNumId w:val="8"/>
    <w:lvlOverride w:ilvl="0">
      <w:startOverride w:val="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8792306">
    <w:abstractNumId w:val="8"/>
    <w:lvlOverride w:ilvl="0">
      <w:startOverride w:val="7"/>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18789803">
    <w:abstractNumId w:val="8"/>
    <w:lvlOverride w:ilvl="0">
      <w:startOverride w:val="7"/>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2731324">
    <w:abstractNumId w:val="26"/>
  </w:num>
  <w:num w:numId="29" w16cid:durableId="992950279">
    <w:abstractNumId w:val="15"/>
  </w:num>
  <w:num w:numId="30" w16cid:durableId="860750031">
    <w:abstractNumId w:val="2"/>
  </w:num>
  <w:num w:numId="31" w16cid:durableId="1084884427">
    <w:abstractNumId w:val="12"/>
  </w:num>
  <w:num w:numId="32" w16cid:durableId="1525092029">
    <w:abstractNumId w:val="17"/>
  </w:num>
  <w:num w:numId="33" w16cid:durableId="1386416644">
    <w:abstractNumId w:val="18"/>
  </w:num>
  <w:num w:numId="34" w16cid:durableId="1086266720">
    <w:abstractNumId w:val="25"/>
  </w:num>
  <w:num w:numId="35" w16cid:durableId="1012683295">
    <w:abstractNumId w:val="4"/>
  </w:num>
  <w:num w:numId="36" w16cid:durableId="1222668872">
    <w:abstractNumId w:val="16"/>
  </w:num>
  <w:num w:numId="37" w16cid:durableId="1447047077">
    <w:abstractNumId w:val="19"/>
  </w:num>
  <w:num w:numId="38" w16cid:durableId="917636702">
    <w:abstractNumId w:val="13"/>
  </w:num>
  <w:num w:numId="39" w16cid:durableId="2080714294">
    <w:abstractNumId w:val="3"/>
  </w:num>
  <w:num w:numId="40" w16cid:durableId="3614450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FEF"/>
    <w:rsid w:val="000014C9"/>
    <w:rsid w:val="00004CCA"/>
    <w:rsid w:val="00007466"/>
    <w:rsid w:val="00011189"/>
    <w:rsid w:val="0001220B"/>
    <w:rsid w:val="000450F4"/>
    <w:rsid w:val="00047A25"/>
    <w:rsid w:val="00083D77"/>
    <w:rsid w:val="00083DD2"/>
    <w:rsid w:val="000A209B"/>
    <w:rsid w:val="000B25B0"/>
    <w:rsid w:val="000B3BD2"/>
    <w:rsid w:val="000C404B"/>
    <w:rsid w:val="000D25B6"/>
    <w:rsid w:val="000D58E3"/>
    <w:rsid w:val="000E3AC9"/>
    <w:rsid w:val="000E7E59"/>
    <w:rsid w:val="000F141C"/>
    <w:rsid w:val="000F17E7"/>
    <w:rsid w:val="000F1E5A"/>
    <w:rsid w:val="000F332B"/>
    <w:rsid w:val="00104F39"/>
    <w:rsid w:val="00105470"/>
    <w:rsid w:val="00111850"/>
    <w:rsid w:val="00120710"/>
    <w:rsid w:val="00132498"/>
    <w:rsid w:val="00136DC3"/>
    <w:rsid w:val="0016168C"/>
    <w:rsid w:val="00163096"/>
    <w:rsid w:val="00164B00"/>
    <w:rsid w:val="00166BC2"/>
    <w:rsid w:val="00167717"/>
    <w:rsid w:val="00183239"/>
    <w:rsid w:val="001A3CCB"/>
    <w:rsid w:val="001A4BE6"/>
    <w:rsid w:val="001A4E89"/>
    <w:rsid w:val="001A5FC6"/>
    <w:rsid w:val="001B4DA4"/>
    <w:rsid w:val="001B51EE"/>
    <w:rsid w:val="001B6B4E"/>
    <w:rsid w:val="001B799A"/>
    <w:rsid w:val="001C516D"/>
    <w:rsid w:val="001E01D2"/>
    <w:rsid w:val="001E05CC"/>
    <w:rsid w:val="001E0C93"/>
    <w:rsid w:val="001E4DD2"/>
    <w:rsid w:val="001E592B"/>
    <w:rsid w:val="001F684A"/>
    <w:rsid w:val="002167D2"/>
    <w:rsid w:val="00243A51"/>
    <w:rsid w:val="00245172"/>
    <w:rsid w:val="0024783D"/>
    <w:rsid w:val="00252971"/>
    <w:rsid w:val="002636EA"/>
    <w:rsid w:val="002648C7"/>
    <w:rsid w:val="00267BA3"/>
    <w:rsid w:val="0027634B"/>
    <w:rsid w:val="00282868"/>
    <w:rsid w:val="00283E3D"/>
    <w:rsid w:val="002A05ED"/>
    <w:rsid w:val="002A3E4E"/>
    <w:rsid w:val="002C0C07"/>
    <w:rsid w:val="002C2BBE"/>
    <w:rsid w:val="002C367C"/>
    <w:rsid w:val="002D0604"/>
    <w:rsid w:val="002D5DA8"/>
    <w:rsid w:val="002E044B"/>
    <w:rsid w:val="002E606D"/>
    <w:rsid w:val="002F2604"/>
    <w:rsid w:val="002F66CA"/>
    <w:rsid w:val="00303F20"/>
    <w:rsid w:val="00311767"/>
    <w:rsid w:val="00314172"/>
    <w:rsid w:val="00321F7C"/>
    <w:rsid w:val="00325E9C"/>
    <w:rsid w:val="00327B5B"/>
    <w:rsid w:val="00342B89"/>
    <w:rsid w:val="003466C5"/>
    <w:rsid w:val="003519AA"/>
    <w:rsid w:val="0035267C"/>
    <w:rsid w:val="00355A1C"/>
    <w:rsid w:val="00356940"/>
    <w:rsid w:val="00361343"/>
    <w:rsid w:val="00364EE8"/>
    <w:rsid w:val="0036525E"/>
    <w:rsid w:val="0037210F"/>
    <w:rsid w:val="00383374"/>
    <w:rsid w:val="003B08B0"/>
    <w:rsid w:val="003B2A26"/>
    <w:rsid w:val="003B4909"/>
    <w:rsid w:val="003C15C4"/>
    <w:rsid w:val="003D5A0A"/>
    <w:rsid w:val="003E64B0"/>
    <w:rsid w:val="003F0D50"/>
    <w:rsid w:val="004011C1"/>
    <w:rsid w:val="00402D1F"/>
    <w:rsid w:val="00441C2F"/>
    <w:rsid w:val="00442B44"/>
    <w:rsid w:val="0044600F"/>
    <w:rsid w:val="00447772"/>
    <w:rsid w:val="004862E0"/>
    <w:rsid w:val="0048706E"/>
    <w:rsid w:val="004900A9"/>
    <w:rsid w:val="004A0D48"/>
    <w:rsid w:val="004A6F24"/>
    <w:rsid w:val="004B5020"/>
    <w:rsid w:val="004C5796"/>
    <w:rsid w:val="004D01F2"/>
    <w:rsid w:val="004E1258"/>
    <w:rsid w:val="004E1989"/>
    <w:rsid w:val="004E722F"/>
    <w:rsid w:val="0050283F"/>
    <w:rsid w:val="00513F24"/>
    <w:rsid w:val="00513FC2"/>
    <w:rsid w:val="00521EEE"/>
    <w:rsid w:val="00522C3A"/>
    <w:rsid w:val="00523F54"/>
    <w:rsid w:val="00526B12"/>
    <w:rsid w:val="005348AD"/>
    <w:rsid w:val="00552481"/>
    <w:rsid w:val="00554477"/>
    <w:rsid w:val="00556087"/>
    <w:rsid w:val="005574D7"/>
    <w:rsid w:val="00561BC9"/>
    <w:rsid w:val="00561FE6"/>
    <w:rsid w:val="00562352"/>
    <w:rsid w:val="00564418"/>
    <w:rsid w:val="00566C70"/>
    <w:rsid w:val="005673DD"/>
    <w:rsid w:val="00583061"/>
    <w:rsid w:val="00583D2D"/>
    <w:rsid w:val="00593772"/>
    <w:rsid w:val="00594F66"/>
    <w:rsid w:val="005A5C92"/>
    <w:rsid w:val="005A6E1F"/>
    <w:rsid w:val="005B0C71"/>
    <w:rsid w:val="005B1F1F"/>
    <w:rsid w:val="005B42F6"/>
    <w:rsid w:val="005B48AA"/>
    <w:rsid w:val="005B68EB"/>
    <w:rsid w:val="005C20FE"/>
    <w:rsid w:val="005D2177"/>
    <w:rsid w:val="005E16F5"/>
    <w:rsid w:val="005E51A2"/>
    <w:rsid w:val="00650834"/>
    <w:rsid w:val="006510C3"/>
    <w:rsid w:val="00663D33"/>
    <w:rsid w:val="00665244"/>
    <w:rsid w:val="00666A69"/>
    <w:rsid w:val="0068054D"/>
    <w:rsid w:val="0068430B"/>
    <w:rsid w:val="00696890"/>
    <w:rsid w:val="006A1275"/>
    <w:rsid w:val="006B3D44"/>
    <w:rsid w:val="006B5AD2"/>
    <w:rsid w:val="006C210A"/>
    <w:rsid w:val="006C25D3"/>
    <w:rsid w:val="006C512E"/>
    <w:rsid w:val="006D1502"/>
    <w:rsid w:val="006D41A4"/>
    <w:rsid w:val="006D4630"/>
    <w:rsid w:val="006F6AB3"/>
    <w:rsid w:val="006F7664"/>
    <w:rsid w:val="00701452"/>
    <w:rsid w:val="007026FD"/>
    <w:rsid w:val="0070311A"/>
    <w:rsid w:val="00710F29"/>
    <w:rsid w:val="007262ED"/>
    <w:rsid w:val="00741FFD"/>
    <w:rsid w:val="00742571"/>
    <w:rsid w:val="00742F82"/>
    <w:rsid w:val="007465D6"/>
    <w:rsid w:val="00746A22"/>
    <w:rsid w:val="007757B3"/>
    <w:rsid w:val="0079556D"/>
    <w:rsid w:val="007A5707"/>
    <w:rsid w:val="007A76DD"/>
    <w:rsid w:val="007A7D02"/>
    <w:rsid w:val="007B121D"/>
    <w:rsid w:val="007B7717"/>
    <w:rsid w:val="007C1993"/>
    <w:rsid w:val="007D2FB5"/>
    <w:rsid w:val="007D6F69"/>
    <w:rsid w:val="007E007A"/>
    <w:rsid w:val="007E624D"/>
    <w:rsid w:val="007F3C33"/>
    <w:rsid w:val="007F6D08"/>
    <w:rsid w:val="00803BAC"/>
    <w:rsid w:val="0081035D"/>
    <w:rsid w:val="008154AA"/>
    <w:rsid w:val="00833FDA"/>
    <w:rsid w:val="00836460"/>
    <w:rsid w:val="008464C4"/>
    <w:rsid w:val="00851722"/>
    <w:rsid w:val="00852B5D"/>
    <w:rsid w:val="008547D3"/>
    <w:rsid w:val="00855A8E"/>
    <w:rsid w:val="00856EE1"/>
    <w:rsid w:val="00862C3E"/>
    <w:rsid w:val="008652EF"/>
    <w:rsid w:val="008655DB"/>
    <w:rsid w:val="0088003D"/>
    <w:rsid w:val="008A7C12"/>
    <w:rsid w:val="008B5A4A"/>
    <w:rsid w:val="008B603E"/>
    <w:rsid w:val="008C3C25"/>
    <w:rsid w:val="008D4C4C"/>
    <w:rsid w:val="008D7F36"/>
    <w:rsid w:val="008E4A8A"/>
    <w:rsid w:val="008E4EFC"/>
    <w:rsid w:val="009223A1"/>
    <w:rsid w:val="00925585"/>
    <w:rsid w:val="009265C0"/>
    <w:rsid w:val="0093036C"/>
    <w:rsid w:val="00934116"/>
    <w:rsid w:val="00934DDE"/>
    <w:rsid w:val="0094278A"/>
    <w:rsid w:val="00947D32"/>
    <w:rsid w:val="009557CC"/>
    <w:rsid w:val="00955989"/>
    <w:rsid w:val="009564E5"/>
    <w:rsid w:val="00961E58"/>
    <w:rsid w:val="0096793F"/>
    <w:rsid w:val="0097080D"/>
    <w:rsid w:val="00971EA8"/>
    <w:rsid w:val="00971F71"/>
    <w:rsid w:val="009A6FBE"/>
    <w:rsid w:val="009B14BD"/>
    <w:rsid w:val="009B52A4"/>
    <w:rsid w:val="009C1F6E"/>
    <w:rsid w:val="009D0F1F"/>
    <w:rsid w:val="009D2B3D"/>
    <w:rsid w:val="009E3B86"/>
    <w:rsid w:val="009E774D"/>
    <w:rsid w:val="009F1154"/>
    <w:rsid w:val="009F4E26"/>
    <w:rsid w:val="009F64E0"/>
    <w:rsid w:val="00A01F45"/>
    <w:rsid w:val="00A04EAC"/>
    <w:rsid w:val="00A303C4"/>
    <w:rsid w:val="00A35211"/>
    <w:rsid w:val="00A3553B"/>
    <w:rsid w:val="00A36464"/>
    <w:rsid w:val="00A370CF"/>
    <w:rsid w:val="00A4473F"/>
    <w:rsid w:val="00A44C1F"/>
    <w:rsid w:val="00A45E01"/>
    <w:rsid w:val="00A529D5"/>
    <w:rsid w:val="00A532B2"/>
    <w:rsid w:val="00A549D0"/>
    <w:rsid w:val="00A6306C"/>
    <w:rsid w:val="00A654BA"/>
    <w:rsid w:val="00A665F0"/>
    <w:rsid w:val="00A77475"/>
    <w:rsid w:val="00A84963"/>
    <w:rsid w:val="00A86DCA"/>
    <w:rsid w:val="00A910A5"/>
    <w:rsid w:val="00AA30AB"/>
    <w:rsid w:val="00AB4B79"/>
    <w:rsid w:val="00AB631E"/>
    <w:rsid w:val="00AC4C5B"/>
    <w:rsid w:val="00AD3F80"/>
    <w:rsid w:val="00AD4148"/>
    <w:rsid w:val="00AD473E"/>
    <w:rsid w:val="00AD4D7D"/>
    <w:rsid w:val="00AF2860"/>
    <w:rsid w:val="00B05388"/>
    <w:rsid w:val="00B10AFE"/>
    <w:rsid w:val="00B321AD"/>
    <w:rsid w:val="00B34B55"/>
    <w:rsid w:val="00B41C06"/>
    <w:rsid w:val="00B4574E"/>
    <w:rsid w:val="00B50861"/>
    <w:rsid w:val="00B54930"/>
    <w:rsid w:val="00B80725"/>
    <w:rsid w:val="00B874C0"/>
    <w:rsid w:val="00BA4FF1"/>
    <w:rsid w:val="00BB291E"/>
    <w:rsid w:val="00BC1F5F"/>
    <w:rsid w:val="00BC6D87"/>
    <w:rsid w:val="00BC6DBD"/>
    <w:rsid w:val="00BD5D4F"/>
    <w:rsid w:val="00BD7AA5"/>
    <w:rsid w:val="00BE6679"/>
    <w:rsid w:val="00C00F4F"/>
    <w:rsid w:val="00C03E45"/>
    <w:rsid w:val="00C13B68"/>
    <w:rsid w:val="00C2045E"/>
    <w:rsid w:val="00C23379"/>
    <w:rsid w:val="00C45257"/>
    <w:rsid w:val="00C476ED"/>
    <w:rsid w:val="00C52B20"/>
    <w:rsid w:val="00C66D59"/>
    <w:rsid w:val="00C90894"/>
    <w:rsid w:val="00CA19BB"/>
    <w:rsid w:val="00CA1DA7"/>
    <w:rsid w:val="00CB0865"/>
    <w:rsid w:val="00CB2A9F"/>
    <w:rsid w:val="00CB544C"/>
    <w:rsid w:val="00CB7020"/>
    <w:rsid w:val="00CC6E09"/>
    <w:rsid w:val="00CC729A"/>
    <w:rsid w:val="00CE0AE5"/>
    <w:rsid w:val="00CE6E7B"/>
    <w:rsid w:val="00CF1EE2"/>
    <w:rsid w:val="00CF4077"/>
    <w:rsid w:val="00D37E63"/>
    <w:rsid w:val="00D422D1"/>
    <w:rsid w:val="00D51E67"/>
    <w:rsid w:val="00D54884"/>
    <w:rsid w:val="00D639A7"/>
    <w:rsid w:val="00D6464F"/>
    <w:rsid w:val="00D6633D"/>
    <w:rsid w:val="00D703B0"/>
    <w:rsid w:val="00D85924"/>
    <w:rsid w:val="00DD0720"/>
    <w:rsid w:val="00DD3C67"/>
    <w:rsid w:val="00DD46B9"/>
    <w:rsid w:val="00DE78E0"/>
    <w:rsid w:val="00DF7800"/>
    <w:rsid w:val="00E01FFD"/>
    <w:rsid w:val="00E0254B"/>
    <w:rsid w:val="00E044B6"/>
    <w:rsid w:val="00E10BF1"/>
    <w:rsid w:val="00E1321A"/>
    <w:rsid w:val="00E17760"/>
    <w:rsid w:val="00E22EB5"/>
    <w:rsid w:val="00E23043"/>
    <w:rsid w:val="00E25CB7"/>
    <w:rsid w:val="00E3118E"/>
    <w:rsid w:val="00E5084A"/>
    <w:rsid w:val="00E63247"/>
    <w:rsid w:val="00E660EB"/>
    <w:rsid w:val="00E67F65"/>
    <w:rsid w:val="00E7148B"/>
    <w:rsid w:val="00E7331F"/>
    <w:rsid w:val="00E7541B"/>
    <w:rsid w:val="00E8530E"/>
    <w:rsid w:val="00E90F8B"/>
    <w:rsid w:val="00EA5926"/>
    <w:rsid w:val="00EB1366"/>
    <w:rsid w:val="00EB1993"/>
    <w:rsid w:val="00EC2C5B"/>
    <w:rsid w:val="00ED3703"/>
    <w:rsid w:val="00EE1081"/>
    <w:rsid w:val="00EE1BE2"/>
    <w:rsid w:val="00EE41C4"/>
    <w:rsid w:val="00EF0465"/>
    <w:rsid w:val="00EF28D9"/>
    <w:rsid w:val="00F00FEF"/>
    <w:rsid w:val="00F029BA"/>
    <w:rsid w:val="00F0398D"/>
    <w:rsid w:val="00F0521B"/>
    <w:rsid w:val="00F11102"/>
    <w:rsid w:val="00F16470"/>
    <w:rsid w:val="00F35272"/>
    <w:rsid w:val="00F3773D"/>
    <w:rsid w:val="00F50E98"/>
    <w:rsid w:val="00F53A68"/>
    <w:rsid w:val="00F80F49"/>
    <w:rsid w:val="00F902C0"/>
    <w:rsid w:val="00F90A63"/>
    <w:rsid w:val="00F9144B"/>
    <w:rsid w:val="00F93B96"/>
    <w:rsid w:val="00F94D45"/>
    <w:rsid w:val="00F952B1"/>
    <w:rsid w:val="00FA54CD"/>
    <w:rsid w:val="00FB0517"/>
    <w:rsid w:val="00FC4318"/>
    <w:rsid w:val="00FD1D7F"/>
    <w:rsid w:val="00FE1380"/>
    <w:rsid w:val="00FE14E4"/>
    <w:rsid w:val="00FF0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hapeDefaults>
    <o:shapedefaults v:ext="edit" spidmax="30721"/>
    <o:shapelayout v:ext="edit">
      <o:idmap v:ext="edit" data="1"/>
    </o:shapelayout>
  </w:shapeDefaults>
  <w:decimalSymbol w:val="."/>
  <w:listSeparator w:val=","/>
  <w14:docId w14:val="7D3F03FC"/>
  <w15:chartTrackingRefBased/>
  <w15:docId w15:val="{41BC0E71-D090-48FD-AAB6-482033DB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Hyperlink"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01D2"/>
    <w:rPr>
      <w:rFonts w:ascii="Arial" w:hAnsi="Arial"/>
      <w:sz w:val="24"/>
      <w:szCs w:val="24"/>
    </w:rPr>
  </w:style>
  <w:style w:type="paragraph" w:styleId="Heading1">
    <w:name w:val="heading 1"/>
    <w:basedOn w:val="ListParagraph"/>
    <w:next w:val="Normal"/>
    <w:link w:val="Heading1Char"/>
    <w:qFormat/>
    <w:rsid w:val="007E007A"/>
    <w:pPr>
      <w:numPr>
        <w:ilvl w:val="0"/>
      </w:numPr>
      <w:outlineLvl w:val="0"/>
    </w:pPr>
    <w:rPr>
      <w:b/>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C729A"/>
    <w:pPr>
      <w:tabs>
        <w:tab w:val="center" w:pos="4153"/>
        <w:tab w:val="right" w:pos="8306"/>
      </w:tabs>
    </w:pPr>
  </w:style>
  <w:style w:type="character" w:styleId="PageNumber">
    <w:name w:val="page number"/>
    <w:basedOn w:val="DefaultParagraphFont"/>
    <w:rsid w:val="00CC729A"/>
  </w:style>
  <w:style w:type="paragraph" w:styleId="Header">
    <w:name w:val="header"/>
    <w:basedOn w:val="Normal"/>
    <w:rsid w:val="00CC729A"/>
    <w:pPr>
      <w:tabs>
        <w:tab w:val="center" w:pos="4153"/>
        <w:tab w:val="right" w:pos="8306"/>
      </w:tabs>
    </w:pPr>
  </w:style>
  <w:style w:type="character" w:styleId="Hyperlink">
    <w:name w:val="Hyperlink"/>
    <w:basedOn w:val="DefaultParagraphFont"/>
    <w:uiPriority w:val="99"/>
    <w:rsid w:val="00583061"/>
    <w:rPr>
      <w:color w:val="0000FF"/>
      <w:u w:val="single"/>
    </w:rPr>
  </w:style>
  <w:style w:type="character" w:styleId="FollowedHyperlink">
    <w:name w:val="FollowedHyperlink"/>
    <w:basedOn w:val="DefaultParagraphFont"/>
    <w:rsid w:val="009265C0"/>
    <w:rPr>
      <w:color w:val="800080"/>
      <w:u w:val="single"/>
    </w:rPr>
  </w:style>
  <w:style w:type="table" w:styleId="TableGrid">
    <w:name w:val="Table Grid"/>
    <w:basedOn w:val="TableNormal"/>
    <w:rsid w:val="009D2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56EE1"/>
    <w:rPr>
      <w:rFonts w:ascii="Tahoma" w:hAnsi="Tahoma" w:cs="Tahoma"/>
      <w:sz w:val="16"/>
      <w:szCs w:val="16"/>
    </w:rPr>
  </w:style>
  <w:style w:type="paragraph" w:customStyle="1" w:styleId="Default">
    <w:name w:val="Default"/>
    <w:rsid w:val="007C1993"/>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7E007A"/>
    <w:pPr>
      <w:numPr>
        <w:ilvl w:val="1"/>
        <w:numId w:val="13"/>
      </w:numPr>
      <w:contextualSpacing/>
    </w:pPr>
    <w:rPr>
      <w:rFonts w:cs="Arial"/>
    </w:rPr>
  </w:style>
  <w:style w:type="character" w:styleId="UnresolvedMention">
    <w:name w:val="Unresolved Mention"/>
    <w:basedOn w:val="DefaultParagraphFont"/>
    <w:uiPriority w:val="99"/>
    <w:semiHidden/>
    <w:unhideWhenUsed/>
    <w:rsid w:val="007C1993"/>
    <w:rPr>
      <w:color w:val="808080"/>
      <w:shd w:val="clear" w:color="auto" w:fill="E6E6E6"/>
    </w:rPr>
  </w:style>
  <w:style w:type="character" w:customStyle="1" w:styleId="Heading1Char">
    <w:name w:val="Heading 1 Char"/>
    <w:basedOn w:val="DefaultParagraphFont"/>
    <w:link w:val="Heading1"/>
    <w:rsid w:val="007E007A"/>
    <w:rPr>
      <w:rFonts w:ascii="Arial" w:hAnsi="Arial" w:cs="Arial"/>
      <w:b/>
      <w:sz w:val="28"/>
      <w:szCs w:val="28"/>
      <w:u w:val="single"/>
    </w:rPr>
  </w:style>
  <w:style w:type="paragraph" w:customStyle="1" w:styleId="Listpara2">
    <w:name w:val="List para 2"/>
    <w:basedOn w:val="ListParagraph"/>
    <w:link w:val="Listpara2Char"/>
    <w:qFormat/>
    <w:rsid w:val="00EE41C4"/>
    <w:pPr>
      <w:numPr>
        <w:ilvl w:val="2"/>
      </w:numPr>
    </w:pPr>
  </w:style>
  <w:style w:type="character" w:customStyle="1" w:styleId="ListParagraphChar">
    <w:name w:val="List Paragraph Char"/>
    <w:basedOn w:val="DefaultParagraphFont"/>
    <w:link w:val="ListParagraph"/>
    <w:uiPriority w:val="34"/>
    <w:rsid w:val="0048706E"/>
    <w:rPr>
      <w:rFonts w:ascii="Arial" w:hAnsi="Arial" w:cs="Arial"/>
      <w:sz w:val="24"/>
      <w:szCs w:val="24"/>
    </w:rPr>
  </w:style>
  <w:style w:type="character" w:customStyle="1" w:styleId="Listpara2Char">
    <w:name w:val="List para 2 Char"/>
    <w:basedOn w:val="ListParagraphChar"/>
    <w:link w:val="Listpara2"/>
    <w:rsid w:val="00EE41C4"/>
    <w:rPr>
      <w:rFonts w:ascii="Arial" w:hAnsi="Arial" w:cs="Arial"/>
      <w:sz w:val="24"/>
      <w:szCs w:val="24"/>
    </w:rPr>
  </w:style>
  <w:style w:type="paragraph" w:customStyle="1" w:styleId="Appendix">
    <w:name w:val="Appendix"/>
    <w:basedOn w:val="Heading1"/>
    <w:link w:val="AppendixChar"/>
    <w:qFormat/>
    <w:rsid w:val="00A36464"/>
    <w:pPr>
      <w:numPr>
        <w:numId w:val="29"/>
      </w:numPr>
      <w:tabs>
        <w:tab w:val="left" w:pos="2127"/>
      </w:tabs>
      <w:ind w:left="2127" w:hanging="2127"/>
    </w:pPr>
  </w:style>
  <w:style w:type="paragraph" w:styleId="TOC1">
    <w:name w:val="toc 1"/>
    <w:basedOn w:val="Normal"/>
    <w:next w:val="Normal"/>
    <w:autoRedefine/>
    <w:uiPriority w:val="39"/>
    <w:rsid w:val="007A76DD"/>
    <w:pPr>
      <w:spacing w:after="100"/>
    </w:pPr>
  </w:style>
  <w:style w:type="paragraph" w:styleId="TOC2">
    <w:name w:val="toc 2"/>
    <w:basedOn w:val="Normal"/>
    <w:next w:val="Normal"/>
    <w:autoRedefine/>
    <w:rsid w:val="007A76DD"/>
    <w:pPr>
      <w:spacing w:after="100"/>
      <w:ind w:left="240"/>
    </w:pPr>
  </w:style>
  <w:style w:type="character" w:customStyle="1" w:styleId="AppendixChar">
    <w:name w:val="Appendix Char"/>
    <w:basedOn w:val="Heading1Char"/>
    <w:link w:val="Appendix"/>
    <w:rsid w:val="00A36464"/>
    <w:rPr>
      <w:rFonts w:ascii="Arial" w:hAnsi="Arial" w:cs="Arial"/>
      <w:b/>
      <w:sz w:val="28"/>
      <w:szCs w:val="28"/>
      <w:u w:val="single"/>
    </w:rPr>
  </w:style>
  <w:style w:type="character" w:styleId="CommentReference">
    <w:name w:val="annotation reference"/>
    <w:basedOn w:val="DefaultParagraphFont"/>
    <w:rsid w:val="008B5A4A"/>
    <w:rPr>
      <w:sz w:val="16"/>
      <w:szCs w:val="16"/>
    </w:rPr>
  </w:style>
  <w:style w:type="paragraph" w:styleId="CommentText">
    <w:name w:val="annotation text"/>
    <w:basedOn w:val="Normal"/>
    <w:link w:val="CommentTextChar"/>
    <w:rsid w:val="008B5A4A"/>
    <w:rPr>
      <w:sz w:val="20"/>
      <w:szCs w:val="20"/>
    </w:rPr>
  </w:style>
  <w:style w:type="character" w:customStyle="1" w:styleId="CommentTextChar">
    <w:name w:val="Comment Text Char"/>
    <w:basedOn w:val="DefaultParagraphFont"/>
    <w:link w:val="CommentText"/>
    <w:rsid w:val="008B5A4A"/>
    <w:rPr>
      <w:rFonts w:ascii="Arial" w:hAnsi="Arial"/>
    </w:rPr>
  </w:style>
  <w:style w:type="paragraph" w:styleId="CommentSubject">
    <w:name w:val="annotation subject"/>
    <w:basedOn w:val="CommentText"/>
    <w:next w:val="CommentText"/>
    <w:link w:val="CommentSubjectChar"/>
    <w:rsid w:val="008B5A4A"/>
    <w:rPr>
      <w:b/>
      <w:bCs/>
    </w:rPr>
  </w:style>
  <w:style w:type="character" w:customStyle="1" w:styleId="CommentSubjectChar">
    <w:name w:val="Comment Subject Char"/>
    <w:basedOn w:val="CommentTextChar"/>
    <w:link w:val="CommentSubject"/>
    <w:rsid w:val="008B5A4A"/>
    <w:rPr>
      <w:rFonts w:ascii="Arial" w:hAnsi="Arial"/>
      <w:b/>
      <w:bCs/>
    </w:rPr>
  </w:style>
  <w:style w:type="paragraph" w:styleId="NoSpacing">
    <w:name w:val="No Spacing"/>
    <w:uiPriority w:val="1"/>
    <w:qFormat/>
    <w:rsid w:val="00B41C06"/>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58743">
      <w:bodyDiv w:val="1"/>
      <w:marLeft w:val="0"/>
      <w:marRight w:val="0"/>
      <w:marTop w:val="0"/>
      <w:marBottom w:val="0"/>
      <w:divBdr>
        <w:top w:val="none" w:sz="0" w:space="0" w:color="auto"/>
        <w:left w:val="none" w:sz="0" w:space="0" w:color="auto"/>
        <w:bottom w:val="none" w:sz="0" w:space="0" w:color="auto"/>
        <w:right w:val="none" w:sz="0" w:space="0" w:color="auto"/>
      </w:divBdr>
      <w:divsChild>
        <w:div w:id="1029061813">
          <w:marLeft w:val="150"/>
          <w:marRight w:val="150"/>
          <w:marTop w:val="0"/>
          <w:marBottom w:val="0"/>
          <w:divBdr>
            <w:top w:val="none" w:sz="0" w:space="0" w:color="auto"/>
            <w:left w:val="none" w:sz="0" w:space="0" w:color="auto"/>
            <w:bottom w:val="none" w:sz="0" w:space="0" w:color="auto"/>
            <w:right w:val="none" w:sz="0" w:space="0" w:color="auto"/>
          </w:divBdr>
          <w:divsChild>
            <w:div w:id="377818818">
              <w:marLeft w:val="2535"/>
              <w:marRight w:val="0"/>
              <w:marTop w:val="0"/>
              <w:marBottom w:val="0"/>
              <w:divBdr>
                <w:top w:val="none" w:sz="0" w:space="0" w:color="auto"/>
                <w:left w:val="none" w:sz="0" w:space="0" w:color="auto"/>
                <w:bottom w:val="none" w:sz="0" w:space="0" w:color="auto"/>
                <w:right w:val="none" w:sz="0" w:space="0" w:color="auto"/>
              </w:divBdr>
              <w:divsChild>
                <w:div w:id="174343160">
                  <w:marLeft w:val="0"/>
                  <w:marRight w:val="0"/>
                  <w:marTop w:val="0"/>
                  <w:marBottom w:val="0"/>
                  <w:divBdr>
                    <w:top w:val="none" w:sz="0" w:space="0" w:color="auto"/>
                    <w:left w:val="none" w:sz="0" w:space="0" w:color="auto"/>
                    <w:bottom w:val="none" w:sz="0" w:space="0" w:color="auto"/>
                    <w:right w:val="none" w:sz="0" w:space="0" w:color="auto"/>
                  </w:divBdr>
                  <w:divsChild>
                    <w:div w:id="555362641">
                      <w:marLeft w:val="0"/>
                      <w:marRight w:val="3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792439">
      <w:bodyDiv w:val="1"/>
      <w:marLeft w:val="0"/>
      <w:marRight w:val="0"/>
      <w:marTop w:val="0"/>
      <w:marBottom w:val="0"/>
      <w:divBdr>
        <w:top w:val="none" w:sz="0" w:space="0" w:color="auto"/>
        <w:left w:val="none" w:sz="0" w:space="0" w:color="auto"/>
        <w:bottom w:val="none" w:sz="0" w:space="0" w:color="auto"/>
        <w:right w:val="none" w:sz="0" w:space="0" w:color="auto"/>
      </w:divBdr>
    </w:div>
    <w:div w:id="211748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guide-to-freedom-of-information/charging-for-information-in-a-publication-scheme/datase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hsx.nhs.uk/information-governance/guidance/records-management-co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media/for-organisations/documents/1153/model-publication-scheme.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7104164-0474-470d-b032-67eb221d310b" xsi:nil="true"/>
    <lcf76f155ced4ddcb4097134ff3c332f xmlns="f9b354d7-1a8a-4ea2-91ff-17fc6d8982e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DC645692AF94A4D8F9CD17B1B71B979" ma:contentTypeVersion="18" ma:contentTypeDescription="Create a new document." ma:contentTypeScope="" ma:versionID="dd3313aeb990102a424ddd5494051c2d">
  <xsd:schema xmlns:xsd="http://www.w3.org/2001/XMLSchema" xmlns:xs="http://www.w3.org/2001/XMLSchema" xmlns:p="http://schemas.microsoft.com/office/2006/metadata/properties" xmlns:ns1="http://schemas.microsoft.com/sharepoint/v3" xmlns:ns2="c7104164-0474-470d-b032-67eb221d310b" xmlns:ns3="f9b354d7-1a8a-4ea2-91ff-17fc6d8982e7" targetNamespace="http://schemas.microsoft.com/office/2006/metadata/properties" ma:root="true" ma:fieldsID="5dfe4ebe4777925a9cc3feaea51237b1" ns1:_="" ns2:_="" ns3:_="">
    <xsd:import namespace="http://schemas.microsoft.com/sharepoint/v3"/>
    <xsd:import namespace="c7104164-0474-470d-b032-67eb221d310b"/>
    <xsd:import namespace="f9b354d7-1a8a-4ea2-91ff-17fc6d8982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104164-0474-470d-b032-67eb221d31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b0cc263-bd20-4743-a637-f99d7f73246c}" ma:internalName="TaxCatchAll" ma:showField="CatchAllData" ma:web="c7104164-0474-470d-b032-67eb221d31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b354d7-1a8a-4ea2-91ff-17fc6d8982e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faadb6-e36a-43a6-8cdd-440365706d2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2D35C5-5814-4074-AB71-414AF9A4795D}">
  <ds:schemaRefs>
    <ds:schemaRef ds:uri="http://schemas.microsoft.com/sharepoint/v3/contenttype/forms"/>
  </ds:schemaRefs>
</ds:datastoreItem>
</file>

<file path=customXml/itemProps2.xml><?xml version="1.0" encoding="utf-8"?>
<ds:datastoreItem xmlns:ds="http://schemas.openxmlformats.org/officeDocument/2006/customXml" ds:itemID="{A006A00F-5AB6-448B-9C0B-ACA371343D10}">
  <ds:schemaRefs>
    <ds:schemaRef ds:uri="http://schemas.openxmlformats.org/officeDocument/2006/bibliography"/>
  </ds:schemaRefs>
</ds:datastoreItem>
</file>

<file path=customXml/itemProps3.xml><?xml version="1.0" encoding="utf-8"?>
<ds:datastoreItem xmlns:ds="http://schemas.openxmlformats.org/officeDocument/2006/customXml" ds:itemID="{9BB37780-3B0C-4ED8-B298-BC62A4A0E234}">
  <ds:schemaRefs>
    <ds:schemaRef ds:uri="http://purl.org/dc/terms/"/>
    <ds:schemaRef ds:uri="06d71d9a-76f5-4d7c-a034-8976279b3094"/>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17edd650-9439-4f99-ab47-3267ad1066ed"/>
    <ds:schemaRef ds:uri="http://www.w3.org/XML/1998/namespace"/>
    <ds:schemaRef ds:uri="http://purl.org/dc/dcmitype/"/>
    <ds:schemaRef ds:uri="http://schemas.microsoft.com/sharepoint/v3"/>
    <ds:schemaRef ds:uri="c7104164-0474-470d-b032-67eb221d310b"/>
    <ds:schemaRef ds:uri="f9b354d7-1a8a-4ea2-91ff-17fc6d8982e7"/>
  </ds:schemaRefs>
</ds:datastoreItem>
</file>

<file path=customXml/itemProps4.xml><?xml version="1.0" encoding="utf-8"?>
<ds:datastoreItem xmlns:ds="http://schemas.openxmlformats.org/officeDocument/2006/customXml" ds:itemID="{64A819C1-C003-44E9-AC0A-CDCCEB6CC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104164-0474-470d-b032-67eb221d310b"/>
    <ds:schemaRef ds:uri="f9b354d7-1a8a-4ea2-91ff-17fc6d898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4453</Words>
  <Characters>24286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London Borough of Enfield - Freedom of Information Act policy and procedures</vt:lpstr>
    </vt:vector>
  </TitlesOfParts>
  <Company/>
  <LinksUpToDate>false</LinksUpToDate>
  <CharactersWithSpaces>28682</CharactersWithSpaces>
  <SharedDoc>false</SharedDoc>
  <HLinks>
    <vt:vector size="18" baseType="variant">
      <vt:variant>
        <vt:i4>1310757</vt:i4>
      </vt:variant>
      <vt:variant>
        <vt:i4>9</vt:i4>
      </vt:variant>
      <vt:variant>
        <vt:i4>0</vt:i4>
      </vt:variant>
      <vt:variant>
        <vt:i4>5</vt:i4>
      </vt:variant>
      <vt:variant>
        <vt:lpwstr>http://www.ico.gov.uk/for_organisations/freedom_of_information/model_publication_scheme.aspx</vt:lpwstr>
      </vt:variant>
      <vt:variant>
        <vt:lpwstr/>
      </vt:variant>
      <vt:variant>
        <vt:i4>3932246</vt:i4>
      </vt:variant>
      <vt:variant>
        <vt:i4>6</vt:i4>
      </vt:variant>
      <vt:variant>
        <vt:i4>0</vt:i4>
      </vt:variant>
      <vt:variant>
        <vt:i4>5</vt:i4>
      </vt:variant>
      <vt:variant>
        <vt:lpwstr>http://www.enfield.gov.uk/info/722/freedom_of_information-advice/458/freedom_of_information_act/5</vt:lpwstr>
      </vt:variant>
      <vt:variant>
        <vt:lpwstr/>
      </vt:variant>
      <vt:variant>
        <vt:i4>1179749</vt:i4>
      </vt:variant>
      <vt:variant>
        <vt:i4>3</vt:i4>
      </vt:variant>
      <vt:variant>
        <vt:i4>0</vt:i4>
      </vt:variant>
      <vt:variant>
        <vt:i4>5</vt:i4>
      </vt:variant>
      <vt:variant>
        <vt:lpwstr>http://www.enfield.gov.uk/forms/form/42/freedom_of_information_act-making_a_request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Enfield - Freedom of Information Act policy and procedures</dc:title>
  <dc:subject/>
  <dc:creator>MBRINCAT</dc:creator>
  <cp:keywords/>
  <dc:description/>
  <cp:lastModifiedBy>Katherine Herzmark</cp:lastModifiedBy>
  <cp:revision>3</cp:revision>
  <cp:lastPrinted>2012-06-06T12:59:00Z</cp:lastPrinted>
  <dcterms:created xsi:type="dcterms:W3CDTF">2023-03-31T14:37:00Z</dcterms:created>
  <dcterms:modified xsi:type="dcterms:W3CDTF">2023-06-29T08:10:00Z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0x0101008DC645692AF94A4D8F9CD17B1B71B979</vt:lpwstr>
  </property>
  <property fmtid="{D5CDD505-2E9C-101B-9397-08002B2CF9AE}" pid="3" name="MSIP_Label_a733a95c-9f67-419b-a145-04b77b99a4d0_Enabled">
    <vt:lpwstr>True</vt:lpwstr>
  </property>
  <property fmtid="{D5CDD505-2E9C-101B-9397-08002B2CF9AE}" pid="4" name="MSIP_Label_a733a95c-9f67-419b-a145-04b77b99a4d0_SiteId">
    <vt:lpwstr>cc18b91d-1bb2-4d9b-ac76-7a4447488d49</vt:lpwstr>
  </property>
  <property fmtid="{D5CDD505-2E9C-101B-9397-08002B2CF9AE}" pid="5" name="MSIP_Label_a733a95c-9f67-419b-a145-04b77b99a4d0_Owner">
    <vt:lpwstr>Steve.Durbin@enfield.gov.uk</vt:lpwstr>
  </property>
  <property fmtid="{D5CDD505-2E9C-101B-9397-08002B2CF9AE}" pid="6" name="MSIP_Label_a733a95c-9f67-419b-a145-04b77b99a4d0_SetDate">
    <vt:lpwstr>2018-07-31T10:58:56.1683078Z</vt:lpwstr>
  </property>
  <property fmtid="{D5CDD505-2E9C-101B-9397-08002B2CF9AE}" pid="7" name="MSIP_Label_a733a95c-9f67-419b-a145-04b77b99a4d0_Name">
    <vt:lpwstr>External</vt:lpwstr>
  </property>
  <property fmtid="{D5CDD505-2E9C-101B-9397-08002B2CF9AE}" pid="8" name="MSIP_Label_a733a95c-9f67-419b-a145-04b77b99a4d0_Application">
    <vt:lpwstr>Microsoft Azure Information Protection</vt:lpwstr>
  </property>
  <property fmtid="{D5CDD505-2E9C-101B-9397-08002B2CF9AE}" pid="9" name="MSIP_Label_a733a95c-9f67-419b-a145-04b77b99a4d0_Extended_MSFT_Method">
    <vt:lpwstr>Manual</vt:lpwstr>
  </property>
  <property fmtid="{D5CDD505-2E9C-101B-9397-08002B2CF9AE}" pid="10" name="MSIP_Label_654c3615-41c5-4b89-b528-23679be2a629_Enabled">
    <vt:lpwstr>True</vt:lpwstr>
  </property>
  <property fmtid="{D5CDD505-2E9C-101B-9397-08002B2CF9AE}" pid="11" name="MSIP_Label_654c3615-41c5-4b89-b528-23679be2a629_SiteId">
    <vt:lpwstr>cc18b91d-1bb2-4d9b-ac76-7a4447488d49</vt:lpwstr>
  </property>
  <property fmtid="{D5CDD505-2E9C-101B-9397-08002B2CF9AE}" pid="12" name="MSIP_Label_654c3615-41c5-4b89-b528-23679be2a629_Owner">
    <vt:lpwstr>Steve.Durbin@enfield.gov.uk</vt:lpwstr>
  </property>
  <property fmtid="{D5CDD505-2E9C-101B-9397-08002B2CF9AE}" pid="13" name="MSIP_Label_654c3615-41c5-4b89-b528-23679be2a629_SetDate">
    <vt:lpwstr>2018-07-31T10:58:56.1683078Z</vt:lpwstr>
  </property>
  <property fmtid="{D5CDD505-2E9C-101B-9397-08002B2CF9AE}" pid="14" name="MSIP_Label_654c3615-41c5-4b89-b528-23679be2a629_Name">
    <vt:lpwstr>Official</vt:lpwstr>
  </property>
  <property fmtid="{D5CDD505-2E9C-101B-9397-08002B2CF9AE}" pid="15" name="MSIP_Label_654c3615-41c5-4b89-b528-23679be2a629_Application">
    <vt:lpwstr>Microsoft Azure Information Protection</vt:lpwstr>
  </property>
  <property fmtid="{D5CDD505-2E9C-101B-9397-08002B2CF9AE}" pid="16" name="MSIP_Label_654c3615-41c5-4b89-b528-23679be2a629_Parent">
    <vt:lpwstr>a733a95c-9f67-419b-a145-04b77b99a4d0</vt:lpwstr>
  </property>
  <property fmtid="{D5CDD505-2E9C-101B-9397-08002B2CF9AE}" pid="17" name="MSIP_Label_654c3615-41c5-4b89-b528-23679be2a629_Extended_MSFT_Method">
    <vt:lpwstr>Manual</vt:lpwstr>
  </property>
  <property fmtid="{D5CDD505-2E9C-101B-9397-08002B2CF9AE}" pid="18" name="_dlc_DocIdItemGuid">
    <vt:lpwstr>c9f36094-e7c2-4ef2-8f41-df172ee032b3</vt:lpwstr>
  </property>
  <property fmtid="{D5CDD505-2E9C-101B-9397-08002B2CF9AE}" pid="19" name="MediaServiceImageTags">
    <vt:lpwstr/>
  </property>
  <property fmtid="{D5CDD505-2E9C-101B-9397-08002B2CF9AE}" pid="20" name="MSIP_Label_4f2e6ff0-a85d-4496-8902-aaf2bdaa0503_Enabled">
    <vt:lpwstr>true</vt:lpwstr>
  </property>
  <property fmtid="{D5CDD505-2E9C-101B-9397-08002B2CF9AE}" pid="21" name="MSIP_Label_4f2e6ff0-a85d-4496-8902-aaf2bdaa0503_SetDate">
    <vt:lpwstr>2023-03-31T14:37:16Z</vt:lpwstr>
  </property>
  <property fmtid="{D5CDD505-2E9C-101B-9397-08002B2CF9AE}" pid="22" name="MSIP_Label_4f2e6ff0-a85d-4496-8902-aaf2bdaa0503_Method">
    <vt:lpwstr>Standard</vt:lpwstr>
  </property>
  <property fmtid="{D5CDD505-2E9C-101B-9397-08002B2CF9AE}" pid="23" name="MSIP_Label_4f2e6ff0-a85d-4496-8902-aaf2bdaa0503_Name">
    <vt:lpwstr>OFFICIAL</vt:lpwstr>
  </property>
  <property fmtid="{D5CDD505-2E9C-101B-9397-08002B2CF9AE}" pid="24" name="MSIP_Label_4f2e6ff0-a85d-4496-8902-aaf2bdaa0503_SiteId">
    <vt:lpwstr>42f52aad-46ec-41f5-8eae-8c36039cffe8</vt:lpwstr>
  </property>
  <property fmtid="{D5CDD505-2E9C-101B-9397-08002B2CF9AE}" pid="25" name="MSIP_Label_4f2e6ff0-a85d-4496-8902-aaf2bdaa0503_ActionId">
    <vt:lpwstr>746e8682-d412-4548-8cb7-d7c600e4e18f</vt:lpwstr>
  </property>
  <property fmtid="{D5CDD505-2E9C-101B-9397-08002B2CF9AE}" pid="26" name="MSIP_Label_4f2e6ff0-a85d-4496-8902-aaf2bdaa0503_ContentBits">
    <vt:lpwstr>0</vt:lpwstr>
  </property>
</Properties>
</file>